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4FA6F" w14:textId="21748F15" w:rsidR="00C36D2A" w:rsidRPr="00124008" w:rsidRDefault="000307E5">
      <w:pPr>
        <w:rPr>
          <w:b/>
          <w:bCs/>
        </w:rPr>
      </w:pPr>
      <w:r w:rsidRPr="00124008">
        <w:rPr>
          <w:b/>
          <w:bCs/>
        </w:rPr>
        <w:t>ECONOMIA AZIENDALE</w:t>
      </w:r>
    </w:p>
    <w:p w14:paraId="10635919" w14:textId="3AB60BF1" w:rsidR="00AA70E7" w:rsidRDefault="009E5405">
      <w:r>
        <w:t>Gli adempimenti fiscali dell’osteopata</w:t>
      </w:r>
    </w:p>
    <w:p w14:paraId="5554E6A4" w14:textId="57FED62F" w:rsidR="009E5405" w:rsidRDefault="009E5405" w:rsidP="009E5405">
      <w:pPr>
        <w:pStyle w:val="Paragrafoelenco"/>
        <w:numPr>
          <w:ilvl w:val="0"/>
          <w:numId w:val="1"/>
        </w:numPr>
      </w:pPr>
      <w:r>
        <w:t>L’apertura della partita I.V.A.</w:t>
      </w:r>
    </w:p>
    <w:p w14:paraId="161AE228" w14:textId="76D2609A" w:rsidR="000307E5" w:rsidRDefault="009E5405" w:rsidP="00BF3F69">
      <w:pPr>
        <w:pStyle w:val="Paragrafoelenco"/>
        <w:numPr>
          <w:ilvl w:val="0"/>
          <w:numId w:val="1"/>
        </w:numPr>
      </w:pPr>
      <w:r>
        <w:t xml:space="preserve">La scelta del codice </w:t>
      </w:r>
      <w:proofErr w:type="spellStart"/>
      <w:proofErr w:type="gramStart"/>
      <w:r>
        <w:t>At.Eco</w:t>
      </w:r>
      <w:proofErr w:type="spellEnd"/>
      <w:proofErr w:type="gramEnd"/>
      <w:r>
        <w:t>.</w:t>
      </w:r>
      <w:r w:rsidR="00BF3F69">
        <w:t xml:space="preserve">: </w:t>
      </w:r>
      <w:r w:rsidR="000307E5">
        <w:t>869029 o 749099</w:t>
      </w:r>
    </w:p>
    <w:p w14:paraId="3F965461" w14:textId="0C39C272" w:rsidR="000307E5" w:rsidRDefault="000307E5" w:rsidP="009E5405">
      <w:pPr>
        <w:pStyle w:val="Paragrafoelenco"/>
        <w:numPr>
          <w:ilvl w:val="0"/>
          <w:numId w:val="1"/>
        </w:numPr>
      </w:pPr>
      <w:r>
        <w:t>L’indennità straordinaria di continuità reddituale ed operativa (I.S.C.R.O.)</w:t>
      </w:r>
    </w:p>
    <w:p w14:paraId="5AFF251D" w14:textId="44DEC5F6" w:rsidR="000307E5" w:rsidRDefault="000307E5" w:rsidP="009E5405">
      <w:pPr>
        <w:pStyle w:val="Paragrafoelenco"/>
        <w:numPr>
          <w:ilvl w:val="0"/>
          <w:numId w:val="1"/>
        </w:numPr>
      </w:pPr>
      <w:r>
        <w:t>Il concetto di Imposta sul Valore Aggiunto (I.V.A.)</w:t>
      </w:r>
    </w:p>
    <w:p w14:paraId="6071A467" w14:textId="4987C1CA" w:rsidR="000307E5" w:rsidRDefault="000307E5" w:rsidP="009E5405">
      <w:pPr>
        <w:pStyle w:val="Paragrafoelenco"/>
        <w:numPr>
          <w:ilvl w:val="0"/>
          <w:numId w:val="1"/>
        </w:numPr>
      </w:pPr>
      <w:r>
        <w:t>Il modello AA9/12</w:t>
      </w:r>
    </w:p>
    <w:p w14:paraId="658B12A0" w14:textId="30F0D5FB" w:rsidR="009E5405" w:rsidRDefault="009E5405" w:rsidP="009E5405">
      <w:pPr>
        <w:pStyle w:val="Paragrafoelenco"/>
        <w:numPr>
          <w:ilvl w:val="0"/>
          <w:numId w:val="1"/>
        </w:numPr>
      </w:pPr>
      <w:r>
        <w:t>Scelta del regime contabile: il regime dei minimi</w:t>
      </w:r>
    </w:p>
    <w:p w14:paraId="32C53114" w14:textId="419D9A34" w:rsidR="000307E5" w:rsidRDefault="009E5405" w:rsidP="000307E5">
      <w:pPr>
        <w:pStyle w:val="Paragrafoelenco"/>
        <w:numPr>
          <w:ilvl w:val="0"/>
          <w:numId w:val="1"/>
        </w:numPr>
      </w:pPr>
      <w:r>
        <w:t>Il regime forfettario</w:t>
      </w:r>
    </w:p>
    <w:p w14:paraId="44B8B4E7" w14:textId="45E27C8F" w:rsidR="000307E5" w:rsidRDefault="000307E5" w:rsidP="000307E5">
      <w:pPr>
        <w:pStyle w:val="Paragrafoelenco"/>
        <w:numPr>
          <w:ilvl w:val="1"/>
          <w:numId w:val="1"/>
        </w:numPr>
      </w:pPr>
      <w:r>
        <w:t xml:space="preserve"> i vantaggi</w:t>
      </w:r>
    </w:p>
    <w:p w14:paraId="59FECD50" w14:textId="2451CC06" w:rsidR="000307E5" w:rsidRDefault="000307E5" w:rsidP="000307E5">
      <w:pPr>
        <w:pStyle w:val="Paragrafoelenco"/>
        <w:numPr>
          <w:ilvl w:val="1"/>
          <w:numId w:val="1"/>
        </w:numPr>
      </w:pPr>
      <w:r>
        <w:t>il coefficiente</w:t>
      </w:r>
    </w:p>
    <w:p w14:paraId="172F80A4" w14:textId="1305D8A6" w:rsidR="000307E5" w:rsidRDefault="000307E5" w:rsidP="000307E5">
      <w:pPr>
        <w:pStyle w:val="Paragrafoelenco"/>
        <w:numPr>
          <w:ilvl w:val="1"/>
          <w:numId w:val="1"/>
        </w:numPr>
      </w:pPr>
      <w:r>
        <w:t>le caratteristiche</w:t>
      </w:r>
    </w:p>
    <w:p w14:paraId="7D2A59EB" w14:textId="7C6ED42A" w:rsidR="000307E5" w:rsidRDefault="000307E5" w:rsidP="000307E5">
      <w:pPr>
        <w:pStyle w:val="Paragrafoelenco"/>
        <w:numPr>
          <w:ilvl w:val="1"/>
          <w:numId w:val="1"/>
        </w:numPr>
      </w:pPr>
      <w:r>
        <w:t>i requisiti</w:t>
      </w:r>
    </w:p>
    <w:p w14:paraId="2C933E06" w14:textId="009A2A4F" w:rsidR="000307E5" w:rsidRDefault="000307E5" w:rsidP="000307E5">
      <w:pPr>
        <w:pStyle w:val="Paragrafoelenco"/>
        <w:numPr>
          <w:ilvl w:val="1"/>
          <w:numId w:val="1"/>
        </w:numPr>
      </w:pPr>
      <w:r>
        <w:t>la fuoriuscita</w:t>
      </w:r>
    </w:p>
    <w:p w14:paraId="70ED5D42" w14:textId="3447F166" w:rsidR="000307E5" w:rsidRDefault="000307E5" w:rsidP="000307E5">
      <w:pPr>
        <w:pStyle w:val="Paragrafoelenco"/>
        <w:numPr>
          <w:ilvl w:val="1"/>
          <w:numId w:val="1"/>
        </w:numPr>
      </w:pPr>
      <w:r>
        <w:t>la compilazione del quadro RS</w:t>
      </w:r>
    </w:p>
    <w:p w14:paraId="4CC66C10" w14:textId="32827374" w:rsidR="009E5405" w:rsidRDefault="009E5405" w:rsidP="009E5405">
      <w:pPr>
        <w:pStyle w:val="Paragrafoelenco"/>
        <w:numPr>
          <w:ilvl w:val="0"/>
          <w:numId w:val="1"/>
        </w:numPr>
      </w:pPr>
      <w:r>
        <w:t>Il regime ordinario</w:t>
      </w:r>
      <w:r w:rsidR="000307E5">
        <w:t xml:space="preserve">: contabilità ordinaria </w:t>
      </w:r>
      <w:r>
        <w:t>e semplificat</w:t>
      </w:r>
      <w:r w:rsidR="000307E5">
        <w:t>a</w:t>
      </w:r>
    </w:p>
    <w:p w14:paraId="3F0D0344" w14:textId="16071208" w:rsidR="000307E5" w:rsidRDefault="000307E5" w:rsidP="000307E5">
      <w:pPr>
        <w:pStyle w:val="Paragrafoelenco"/>
        <w:numPr>
          <w:ilvl w:val="1"/>
          <w:numId w:val="1"/>
        </w:numPr>
      </w:pPr>
      <w:r>
        <w:t>concetto di deducibilità: spese inerenti e documentate</w:t>
      </w:r>
    </w:p>
    <w:p w14:paraId="2792AEBE" w14:textId="722305C3" w:rsidR="000307E5" w:rsidRDefault="000307E5" w:rsidP="000307E5">
      <w:pPr>
        <w:pStyle w:val="Paragrafoelenco"/>
        <w:numPr>
          <w:ilvl w:val="1"/>
          <w:numId w:val="1"/>
        </w:numPr>
      </w:pPr>
      <w:r>
        <w:t>i costi</w:t>
      </w:r>
    </w:p>
    <w:p w14:paraId="6C984D34" w14:textId="6DC0DFB5" w:rsidR="000307E5" w:rsidRDefault="000307E5" w:rsidP="000307E5">
      <w:pPr>
        <w:pStyle w:val="Paragrafoelenco"/>
        <w:numPr>
          <w:ilvl w:val="1"/>
          <w:numId w:val="1"/>
        </w:numPr>
      </w:pPr>
      <w:r>
        <w:t>i coefficienti di ammortamento</w:t>
      </w:r>
    </w:p>
    <w:p w14:paraId="205DB4DD" w14:textId="5E710E56" w:rsidR="000307E5" w:rsidRDefault="000307E5" w:rsidP="000307E5">
      <w:pPr>
        <w:pStyle w:val="Paragrafoelenco"/>
        <w:numPr>
          <w:ilvl w:val="1"/>
          <w:numId w:val="1"/>
        </w:numPr>
      </w:pPr>
      <w:r>
        <w:t xml:space="preserve">il concetto di </w:t>
      </w:r>
      <w:proofErr w:type="spellStart"/>
      <w:r>
        <w:t>I.R.Pe.F</w:t>
      </w:r>
      <w:proofErr w:type="spellEnd"/>
      <w:r>
        <w:t>.</w:t>
      </w:r>
    </w:p>
    <w:p w14:paraId="51CD59E1" w14:textId="5510441F" w:rsidR="000307E5" w:rsidRDefault="000307E5" w:rsidP="000307E5">
      <w:pPr>
        <w:pStyle w:val="Paragrafoelenco"/>
        <w:numPr>
          <w:ilvl w:val="1"/>
          <w:numId w:val="1"/>
        </w:numPr>
      </w:pPr>
      <w:r>
        <w:t>gli scaglioni e le aliquote</w:t>
      </w:r>
    </w:p>
    <w:p w14:paraId="1A13E4A7" w14:textId="1EA679A0" w:rsidR="000307E5" w:rsidRDefault="000307E5" w:rsidP="009E5405">
      <w:pPr>
        <w:pStyle w:val="Paragrafoelenco"/>
        <w:numPr>
          <w:ilvl w:val="0"/>
          <w:numId w:val="1"/>
        </w:numPr>
      </w:pPr>
      <w:r>
        <w:t>La detraibilità fiscale</w:t>
      </w:r>
    </w:p>
    <w:p w14:paraId="2D4AA4C6" w14:textId="67E60944" w:rsidR="000307E5" w:rsidRDefault="000307E5" w:rsidP="009E5405">
      <w:pPr>
        <w:pStyle w:val="Paragrafoelenco"/>
        <w:numPr>
          <w:ilvl w:val="0"/>
          <w:numId w:val="1"/>
        </w:numPr>
      </w:pPr>
      <w:r>
        <w:t>Analisi della convenienza effettiva del regime forfettario</w:t>
      </w:r>
    </w:p>
    <w:p w14:paraId="1C2A37D8" w14:textId="77777777" w:rsidR="000307E5" w:rsidRDefault="009E5405" w:rsidP="009E5405">
      <w:pPr>
        <w:pStyle w:val="Paragrafoelenco"/>
        <w:numPr>
          <w:ilvl w:val="0"/>
          <w:numId w:val="1"/>
        </w:numPr>
      </w:pPr>
      <w:r>
        <w:t>Cenni sul lavoro dipendente</w:t>
      </w:r>
    </w:p>
    <w:p w14:paraId="36D099DE" w14:textId="7C078164" w:rsidR="009E5405" w:rsidRDefault="000307E5" w:rsidP="009E5405">
      <w:pPr>
        <w:pStyle w:val="Paragrafoelenco"/>
        <w:numPr>
          <w:ilvl w:val="0"/>
          <w:numId w:val="1"/>
        </w:numPr>
      </w:pPr>
      <w:r>
        <w:t xml:space="preserve">La </w:t>
      </w:r>
      <w:r w:rsidR="009E5405">
        <w:t>prestazione occasionale</w:t>
      </w:r>
    </w:p>
    <w:p w14:paraId="4406687C" w14:textId="38F55B27" w:rsidR="000307E5" w:rsidRDefault="000307E5" w:rsidP="000307E5">
      <w:pPr>
        <w:pStyle w:val="Paragrafoelenco"/>
        <w:numPr>
          <w:ilvl w:val="1"/>
          <w:numId w:val="1"/>
        </w:numPr>
      </w:pPr>
      <w:r>
        <w:t>Caratteristiche</w:t>
      </w:r>
    </w:p>
    <w:p w14:paraId="77317140" w14:textId="02528A9E" w:rsidR="000307E5" w:rsidRDefault="004A1A50" w:rsidP="000307E5">
      <w:pPr>
        <w:pStyle w:val="Paragrafoelenco"/>
        <w:numPr>
          <w:ilvl w:val="1"/>
          <w:numId w:val="1"/>
        </w:numPr>
      </w:pPr>
      <w:r>
        <w:t>Il “sostituto di imposta”</w:t>
      </w:r>
    </w:p>
    <w:p w14:paraId="1344E05C" w14:textId="393A87BD" w:rsidR="004A1A50" w:rsidRDefault="004A1A50" w:rsidP="000307E5">
      <w:pPr>
        <w:pStyle w:val="Paragrafoelenco"/>
        <w:numPr>
          <w:ilvl w:val="1"/>
          <w:numId w:val="1"/>
        </w:numPr>
      </w:pPr>
      <w:r>
        <w:t>La ritenuta d’acconto</w:t>
      </w:r>
    </w:p>
    <w:p w14:paraId="68F5E9BD" w14:textId="7DB1B3FB" w:rsidR="004A1A50" w:rsidRDefault="004A1A50" w:rsidP="004A1A50">
      <w:pPr>
        <w:pStyle w:val="Paragrafoelenco"/>
        <w:numPr>
          <w:ilvl w:val="0"/>
          <w:numId w:val="1"/>
        </w:numPr>
      </w:pPr>
      <w:r>
        <w:t>Il concetto di “falsa partita I.V.A.”</w:t>
      </w:r>
    </w:p>
    <w:p w14:paraId="3E58071D" w14:textId="030641F6" w:rsidR="009E5405" w:rsidRDefault="009E5405" w:rsidP="009E5405">
      <w:pPr>
        <w:pStyle w:val="Paragrafoelenco"/>
        <w:numPr>
          <w:ilvl w:val="0"/>
          <w:numId w:val="1"/>
        </w:numPr>
      </w:pPr>
      <w:r>
        <w:t>La fattura</w:t>
      </w:r>
    </w:p>
    <w:p w14:paraId="221D2D78" w14:textId="2686317A" w:rsidR="009E5405" w:rsidRDefault="009E5405" w:rsidP="009E5405">
      <w:pPr>
        <w:pStyle w:val="Paragrafoelenco"/>
        <w:numPr>
          <w:ilvl w:val="0"/>
          <w:numId w:val="1"/>
        </w:numPr>
      </w:pPr>
      <w:r>
        <w:t>La fattura elettronica</w:t>
      </w:r>
      <w:r w:rsidR="004A1A50">
        <w:t>: caratteristiche</w:t>
      </w:r>
    </w:p>
    <w:p w14:paraId="74FAA96F" w14:textId="40B04ABD" w:rsidR="004A1A50" w:rsidRDefault="004A1A50" w:rsidP="009E5405">
      <w:pPr>
        <w:pStyle w:val="Paragrafoelenco"/>
        <w:numPr>
          <w:ilvl w:val="0"/>
          <w:numId w:val="1"/>
        </w:numPr>
      </w:pPr>
      <w:r>
        <w:t>La fattura elettronica: le motivazioni</w:t>
      </w:r>
    </w:p>
    <w:p w14:paraId="3A75AF85" w14:textId="648E0E64" w:rsidR="004A1A50" w:rsidRDefault="004A1A50" w:rsidP="009E5405">
      <w:pPr>
        <w:pStyle w:val="Paragrafoelenco"/>
        <w:numPr>
          <w:ilvl w:val="0"/>
          <w:numId w:val="1"/>
        </w:numPr>
      </w:pPr>
      <w:r>
        <w:t>La marca da bollo cartacea ed elettronica</w:t>
      </w:r>
    </w:p>
    <w:p w14:paraId="4AF37225" w14:textId="443988B3" w:rsidR="009E5405" w:rsidRDefault="009E5405" w:rsidP="009E5405">
      <w:pPr>
        <w:pStyle w:val="Paragrafoelenco"/>
        <w:numPr>
          <w:ilvl w:val="0"/>
          <w:numId w:val="1"/>
        </w:numPr>
      </w:pPr>
      <w:r>
        <w:t>L</w:t>
      </w:r>
      <w:r w:rsidR="00EC60AF">
        <w:t>e possibilità di effettuare un</w:t>
      </w:r>
      <w:r>
        <w:t>a prestazione gratuita</w:t>
      </w:r>
    </w:p>
    <w:p w14:paraId="135220CC" w14:textId="42B28CA1" w:rsidR="00EC60AF" w:rsidRDefault="004A1A50" w:rsidP="009E5405">
      <w:pPr>
        <w:pStyle w:val="Paragrafoelenco"/>
        <w:numPr>
          <w:ilvl w:val="0"/>
          <w:numId w:val="1"/>
        </w:numPr>
      </w:pPr>
      <w:r>
        <w:t>I</w:t>
      </w:r>
      <w:r w:rsidR="00EC60AF">
        <w:t>l Sistema Tessera Sanitaria</w:t>
      </w:r>
    </w:p>
    <w:p w14:paraId="15A6836B" w14:textId="7D5C4435" w:rsidR="004A1A50" w:rsidRDefault="004A1A50" w:rsidP="004A1A50">
      <w:pPr>
        <w:pStyle w:val="Paragrafoelenco"/>
        <w:numPr>
          <w:ilvl w:val="1"/>
          <w:numId w:val="1"/>
        </w:numPr>
      </w:pPr>
      <w:r>
        <w:t>Caratteristiche delle fatture</w:t>
      </w:r>
    </w:p>
    <w:p w14:paraId="52650B02" w14:textId="1FCE0730" w:rsidR="004A1A50" w:rsidRDefault="004A1A50" w:rsidP="004A1A50">
      <w:pPr>
        <w:pStyle w:val="Paragrafoelenco"/>
        <w:numPr>
          <w:ilvl w:val="1"/>
          <w:numId w:val="1"/>
        </w:numPr>
      </w:pPr>
      <w:r>
        <w:t>Il divieto di fattura elettronica</w:t>
      </w:r>
    </w:p>
    <w:p w14:paraId="33EAE1C4" w14:textId="008EA519" w:rsidR="004A1A50" w:rsidRDefault="004A1A50" w:rsidP="004A1A50">
      <w:pPr>
        <w:pStyle w:val="Paragrafoelenco"/>
        <w:numPr>
          <w:ilvl w:val="1"/>
          <w:numId w:val="1"/>
        </w:numPr>
      </w:pPr>
      <w:r>
        <w:t>Il pagamento “tracciato”</w:t>
      </w:r>
    </w:p>
    <w:p w14:paraId="0B74D39D" w14:textId="0470B347" w:rsidR="00EC60AF" w:rsidRDefault="00EC60AF" w:rsidP="009E5405">
      <w:pPr>
        <w:pStyle w:val="Paragrafoelenco"/>
        <w:numPr>
          <w:ilvl w:val="0"/>
          <w:numId w:val="1"/>
        </w:numPr>
      </w:pPr>
      <w:r>
        <w:t xml:space="preserve">La detrazione fiscale della fattura osteopatica </w:t>
      </w:r>
    </w:p>
    <w:p w14:paraId="3C5990CE" w14:textId="79D74017" w:rsidR="004A1A50" w:rsidRDefault="004A1A50" w:rsidP="004A1A50">
      <w:pPr>
        <w:pStyle w:val="Paragrafoelenco"/>
        <w:numPr>
          <w:ilvl w:val="1"/>
          <w:numId w:val="1"/>
        </w:numPr>
      </w:pPr>
      <w:r>
        <w:t>La circolare 11/E/2014</w:t>
      </w:r>
    </w:p>
    <w:p w14:paraId="30F6C059" w14:textId="0526C651" w:rsidR="004A1A50" w:rsidRDefault="004A1A50" w:rsidP="004A1A50">
      <w:pPr>
        <w:pStyle w:val="Paragrafoelenco"/>
        <w:numPr>
          <w:ilvl w:val="1"/>
          <w:numId w:val="1"/>
        </w:numPr>
      </w:pPr>
      <w:r>
        <w:t>La circolare 14/E/2023</w:t>
      </w:r>
    </w:p>
    <w:p w14:paraId="729A574C" w14:textId="704C0F60" w:rsidR="00EC60AF" w:rsidRDefault="00EC60AF" w:rsidP="009E5405">
      <w:pPr>
        <w:pStyle w:val="Paragrafoelenco"/>
        <w:numPr>
          <w:ilvl w:val="0"/>
          <w:numId w:val="1"/>
        </w:numPr>
      </w:pPr>
      <w:r>
        <w:t>L’esenzione dall’I.V.A. per l’osteopatia, perché non è possibile</w:t>
      </w:r>
    </w:p>
    <w:p w14:paraId="08AFA28F" w14:textId="39352EFB" w:rsidR="004A1A50" w:rsidRDefault="004A1A50" w:rsidP="004A1A50">
      <w:pPr>
        <w:pStyle w:val="Paragrafoelenco"/>
        <w:numPr>
          <w:ilvl w:val="1"/>
          <w:numId w:val="1"/>
        </w:numPr>
      </w:pPr>
      <w:r>
        <w:t>Il parere del 13 ottobre 2021</w:t>
      </w:r>
    </w:p>
    <w:p w14:paraId="75CD5E80" w14:textId="23EB8821" w:rsidR="004A1A50" w:rsidRDefault="004A1A50" w:rsidP="004A1A50">
      <w:pPr>
        <w:pStyle w:val="Paragrafoelenco"/>
        <w:numPr>
          <w:ilvl w:val="0"/>
          <w:numId w:val="1"/>
        </w:numPr>
      </w:pPr>
      <w:r>
        <w:t>Il P.O.S.</w:t>
      </w:r>
      <w:r>
        <w:tab/>
      </w:r>
    </w:p>
    <w:p w14:paraId="121EBEBE" w14:textId="791AE6FF" w:rsidR="00EC60AF" w:rsidRDefault="00EC60AF" w:rsidP="009E5405">
      <w:pPr>
        <w:pStyle w:val="Paragrafoelenco"/>
        <w:numPr>
          <w:ilvl w:val="0"/>
          <w:numId w:val="1"/>
        </w:numPr>
      </w:pPr>
      <w:r>
        <w:t>Cenni sugli studi di settore</w:t>
      </w:r>
    </w:p>
    <w:p w14:paraId="287B553D" w14:textId="7DD3E036" w:rsidR="00EC60AF" w:rsidRDefault="00EC60AF" w:rsidP="00EC60AF">
      <w:pPr>
        <w:pStyle w:val="Paragrafoelenco"/>
        <w:numPr>
          <w:ilvl w:val="0"/>
          <w:numId w:val="1"/>
        </w:numPr>
      </w:pPr>
      <w:r>
        <w:t>Gli indici sintetici di affidabilità</w:t>
      </w:r>
    </w:p>
    <w:p w14:paraId="4AF28A4B" w14:textId="41D7010A" w:rsidR="009E5405" w:rsidRDefault="009E5405" w:rsidP="009E5405">
      <w:r>
        <w:t>Gli adempimenti previdenziali dell’osteopata</w:t>
      </w:r>
    </w:p>
    <w:p w14:paraId="704FA4A3" w14:textId="5DBF8CFD" w:rsidR="009E5405" w:rsidRDefault="009E5405" w:rsidP="009E5405">
      <w:pPr>
        <w:pStyle w:val="Paragrafoelenco"/>
        <w:numPr>
          <w:ilvl w:val="0"/>
          <w:numId w:val="1"/>
        </w:numPr>
      </w:pPr>
      <w:r>
        <w:lastRenderedPageBreak/>
        <w:t>Iscriversi alla Gestione Separata I.N.P.S.</w:t>
      </w:r>
    </w:p>
    <w:p w14:paraId="00EAFF38" w14:textId="09588229" w:rsidR="00EC60AF" w:rsidRDefault="009E5405" w:rsidP="00EC60AF">
      <w:pPr>
        <w:pStyle w:val="Paragrafoelenco"/>
        <w:numPr>
          <w:ilvl w:val="0"/>
          <w:numId w:val="1"/>
        </w:numPr>
      </w:pPr>
      <w:r>
        <w:t>Il minimale della contribuzione previdenziale</w:t>
      </w:r>
    </w:p>
    <w:p w14:paraId="1A8F0627" w14:textId="1010FB9F" w:rsidR="004A1A50" w:rsidRDefault="004A1A50" w:rsidP="00EC60AF">
      <w:pPr>
        <w:pStyle w:val="Paragrafoelenco"/>
        <w:numPr>
          <w:ilvl w:val="0"/>
          <w:numId w:val="1"/>
        </w:numPr>
      </w:pPr>
      <w:r>
        <w:t>La pensione</w:t>
      </w:r>
    </w:p>
    <w:p w14:paraId="51593931" w14:textId="71065E6E" w:rsidR="004A1A50" w:rsidRDefault="004A1A50" w:rsidP="00EC60AF">
      <w:pPr>
        <w:pStyle w:val="Paragrafoelenco"/>
        <w:numPr>
          <w:ilvl w:val="0"/>
          <w:numId w:val="1"/>
        </w:numPr>
      </w:pPr>
      <w:r>
        <w:t>La tutela in caso di malattia o di ricovero ospedaliero</w:t>
      </w:r>
    </w:p>
    <w:p w14:paraId="096A307E" w14:textId="444D6430" w:rsidR="009E5405" w:rsidRDefault="00EC60AF" w:rsidP="00EC60AF">
      <w:r>
        <w:t>La verifica fiscale</w:t>
      </w:r>
    </w:p>
    <w:p w14:paraId="680966EB" w14:textId="1B65572D" w:rsidR="00EC60AF" w:rsidRDefault="00EC60AF" w:rsidP="00EC60AF">
      <w:pPr>
        <w:pStyle w:val="Paragrafoelenco"/>
        <w:numPr>
          <w:ilvl w:val="0"/>
          <w:numId w:val="1"/>
        </w:numPr>
      </w:pPr>
      <w:r>
        <w:t>Il redditometro</w:t>
      </w:r>
    </w:p>
    <w:p w14:paraId="19CE16B7" w14:textId="782A2232" w:rsidR="00EC60AF" w:rsidRDefault="00EC60AF" w:rsidP="00EC60AF">
      <w:pPr>
        <w:pStyle w:val="Paragrafoelenco"/>
        <w:numPr>
          <w:ilvl w:val="0"/>
          <w:numId w:val="1"/>
        </w:numPr>
      </w:pPr>
      <w:r>
        <w:t xml:space="preserve">Il </w:t>
      </w:r>
      <w:proofErr w:type="spellStart"/>
      <w:r>
        <w:t>risparmiometro</w:t>
      </w:r>
      <w:proofErr w:type="spellEnd"/>
    </w:p>
    <w:p w14:paraId="7A7A4BA8" w14:textId="742461C6" w:rsidR="004A1A50" w:rsidRDefault="004A1A50" w:rsidP="00EC60AF">
      <w:pPr>
        <w:pStyle w:val="Paragrafoelenco"/>
        <w:numPr>
          <w:ilvl w:val="0"/>
          <w:numId w:val="1"/>
        </w:numPr>
      </w:pPr>
      <w:r>
        <w:t>L’utilizzo del social network e dei sistemi di messaggistica istantanea</w:t>
      </w:r>
    </w:p>
    <w:p w14:paraId="379A7B07" w14:textId="62CCEAA4" w:rsidR="004A1A50" w:rsidRDefault="004A1A50" w:rsidP="004A1A50">
      <w:r>
        <w:t>Il controllo della Guardia di Finanza</w:t>
      </w:r>
    </w:p>
    <w:p w14:paraId="036EC830" w14:textId="513CA0CF" w:rsidR="00EC60AF" w:rsidRDefault="00EC60AF" w:rsidP="00EC60AF">
      <w:pPr>
        <w:pStyle w:val="Paragrafoelenco"/>
        <w:numPr>
          <w:ilvl w:val="0"/>
          <w:numId w:val="1"/>
        </w:numPr>
      </w:pPr>
      <w:r>
        <w:t>L’accesso</w:t>
      </w:r>
    </w:p>
    <w:p w14:paraId="39E5D37F" w14:textId="638F1567" w:rsidR="004A1A50" w:rsidRDefault="004A1A50" w:rsidP="004A1A50">
      <w:pPr>
        <w:pStyle w:val="Paragrafoelenco"/>
        <w:numPr>
          <w:ilvl w:val="1"/>
          <w:numId w:val="1"/>
        </w:numPr>
      </w:pPr>
      <w:r>
        <w:t>L’autorizzazione del Procuratore della Repubblica</w:t>
      </w:r>
    </w:p>
    <w:p w14:paraId="1DF20AF4" w14:textId="445D7EA0" w:rsidR="00EC60AF" w:rsidRDefault="00EC60AF" w:rsidP="00EC60AF">
      <w:pPr>
        <w:pStyle w:val="Paragrafoelenco"/>
        <w:numPr>
          <w:ilvl w:val="0"/>
          <w:numId w:val="1"/>
        </w:numPr>
      </w:pPr>
      <w:r>
        <w:t>La ricerca</w:t>
      </w:r>
    </w:p>
    <w:p w14:paraId="20847238" w14:textId="0B8158F6" w:rsidR="004A1A50" w:rsidRDefault="004A1A50" w:rsidP="004A1A50">
      <w:pPr>
        <w:pStyle w:val="Paragrafoelenco"/>
        <w:numPr>
          <w:ilvl w:val="1"/>
          <w:numId w:val="1"/>
        </w:numPr>
      </w:pPr>
      <w:r>
        <w:t>Sentenza Cassazione SS.UU. 3182/2022</w:t>
      </w:r>
    </w:p>
    <w:p w14:paraId="51CF9432" w14:textId="1E931ACB" w:rsidR="00EC60AF" w:rsidRDefault="00EC60AF" w:rsidP="00EC60AF">
      <w:pPr>
        <w:pStyle w:val="Paragrafoelenco"/>
        <w:numPr>
          <w:ilvl w:val="0"/>
          <w:numId w:val="1"/>
        </w:numPr>
      </w:pPr>
      <w:r>
        <w:t>Gli elementi presuntivi</w:t>
      </w:r>
    </w:p>
    <w:p w14:paraId="6929E7A6" w14:textId="77777777" w:rsidR="00124008" w:rsidRDefault="00124008" w:rsidP="00124008">
      <w:r>
        <w:t>Le caratteristiche dello studio professionale</w:t>
      </w:r>
    </w:p>
    <w:p w14:paraId="07A8B6E8" w14:textId="77777777" w:rsidR="00124008" w:rsidRDefault="00124008" w:rsidP="00124008">
      <w:pPr>
        <w:pStyle w:val="Paragrafoelenco"/>
        <w:numPr>
          <w:ilvl w:val="0"/>
          <w:numId w:val="1"/>
        </w:numPr>
      </w:pPr>
      <w:r>
        <w:t>La comunicazione al Comune</w:t>
      </w:r>
    </w:p>
    <w:p w14:paraId="6E7D8F76" w14:textId="77777777" w:rsidR="00124008" w:rsidRDefault="00124008" w:rsidP="00124008">
      <w:pPr>
        <w:pStyle w:val="Paragrafoelenco"/>
        <w:numPr>
          <w:ilvl w:val="0"/>
          <w:numId w:val="1"/>
        </w:numPr>
      </w:pPr>
      <w:r>
        <w:t>I documenti necessari</w:t>
      </w:r>
    </w:p>
    <w:p w14:paraId="61F59003" w14:textId="77777777" w:rsidR="00124008" w:rsidRDefault="00124008" w:rsidP="00124008">
      <w:pPr>
        <w:pStyle w:val="Paragrafoelenco"/>
        <w:numPr>
          <w:ilvl w:val="0"/>
          <w:numId w:val="1"/>
        </w:numPr>
      </w:pPr>
      <w:r>
        <w:t>Le caratteristiche strutturali</w:t>
      </w:r>
    </w:p>
    <w:p w14:paraId="24A29D88" w14:textId="77777777" w:rsidR="00124008" w:rsidRDefault="00124008" w:rsidP="00124008">
      <w:pPr>
        <w:pStyle w:val="Paragrafoelenco"/>
        <w:numPr>
          <w:ilvl w:val="0"/>
          <w:numId w:val="1"/>
        </w:numPr>
      </w:pPr>
      <w:r>
        <w:t>Le autorizzazioni necessarie</w:t>
      </w:r>
    </w:p>
    <w:p w14:paraId="4FDDAA05" w14:textId="3E6DE632" w:rsidR="00B16EC4" w:rsidRDefault="00B16EC4" w:rsidP="00124008">
      <w:pPr>
        <w:pStyle w:val="Paragrafoelenco"/>
        <w:numPr>
          <w:ilvl w:val="0"/>
          <w:numId w:val="1"/>
        </w:numPr>
      </w:pPr>
      <w:r>
        <w:t>Le autorizzazioni per le professioni sanitarie</w:t>
      </w:r>
    </w:p>
    <w:p w14:paraId="35344195" w14:textId="1EEFD47C" w:rsidR="00B16EC4" w:rsidRDefault="00B16EC4" w:rsidP="00124008">
      <w:pPr>
        <w:pStyle w:val="Paragrafoelenco"/>
        <w:numPr>
          <w:ilvl w:val="0"/>
          <w:numId w:val="1"/>
        </w:numPr>
      </w:pPr>
      <w:r>
        <w:t>I requisiti dello studio delle professioni sanitarie</w:t>
      </w:r>
    </w:p>
    <w:p w14:paraId="0D82271A" w14:textId="77777777" w:rsidR="00124008" w:rsidRDefault="00124008" w:rsidP="00124008">
      <w:pPr>
        <w:pStyle w:val="Paragrafoelenco"/>
        <w:numPr>
          <w:ilvl w:val="0"/>
          <w:numId w:val="1"/>
        </w:numPr>
      </w:pPr>
      <w:r>
        <w:t>Differenze tra studio, studio associato e ambulatorio</w:t>
      </w:r>
    </w:p>
    <w:p w14:paraId="5522C8DE" w14:textId="77777777" w:rsidR="00124008" w:rsidRDefault="00124008" w:rsidP="00124008">
      <w:pPr>
        <w:pStyle w:val="Paragrafoelenco"/>
        <w:numPr>
          <w:ilvl w:val="0"/>
          <w:numId w:val="1"/>
        </w:numPr>
      </w:pPr>
      <w:r>
        <w:t>La normativa relativa ai diversamente abili</w:t>
      </w:r>
    </w:p>
    <w:p w14:paraId="23A2D874" w14:textId="1F072EED" w:rsidR="00B16EC4" w:rsidRDefault="00B16EC4" w:rsidP="00B16EC4">
      <w:pPr>
        <w:pStyle w:val="Paragrafoelenco"/>
        <w:numPr>
          <w:ilvl w:val="1"/>
          <w:numId w:val="1"/>
        </w:numPr>
      </w:pPr>
      <w:r>
        <w:t>L’adattabilità</w:t>
      </w:r>
    </w:p>
    <w:p w14:paraId="23A2C173" w14:textId="7D773EF9" w:rsidR="00B16EC4" w:rsidRDefault="00B16EC4" w:rsidP="00B16EC4">
      <w:pPr>
        <w:pStyle w:val="Paragrafoelenco"/>
        <w:numPr>
          <w:ilvl w:val="1"/>
          <w:numId w:val="1"/>
        </w:numPr>
      </w:pPr>
      <w:r>
        <w:t>La visitabilità</w:t>
      </w:r>
    </w:p>
    <w:p w14:paraId="400C5614" w14:textId="116DCB68" w:rsidR="00B16EC4" w:rsidRDefault="00B16EC4" w:rsidP="00B16EC4">
      <w:pPr>
        <w:pStyle w:val="Paragrafoelenco"/>
        <w:numPr>
          <w:ilvl w:val="0"/>
          <w:numId w:val="1"/>
        </w:numPr>
      </w:pPr>
      <w:r>
        <w:t>Il contratto di coworking o di fornitura di spazi attrezzati</w:t>
      </w:r>
    </w:p>
    <w:p w14:paraId="5CEFEA80" w14:textId="34A4C4B0" w:rsidR="00B16EC4" w:rsidRDefault="00B16EC4" w:rsidP="00B16EC4">
      <w:pPr>
        <w:pStyle w:val="Paragrafoelenco"/>
        <w:numPr>
          <w:ilvl w:val="0"/>
          <w:numId w:val="1"/>
        </w:numPr>
      </w:pPr>
      <w:r>
        <w:t>La targa</w:t>
      </w:r>
    </w:p>
    <w:p w14:paraId="525B7D37" w14:textId="77777777" w:rsidR="00124008" w:rsidRDefault="00124008">
      <w:r>
        <w:br w:type="page"/>
      </w:r>
    </w:p>
    <w:p w14:paraId="0C779CC4" w14:textId="4B69CD7A" w:rsidR="00EC60AF" w:rsidRDefault="00124008" w:rsidP="00EC60AF">
      <w:pPr>
        <w:rPr>
          <w:b/>
          <w:bCs/>
        </w:rPr>
      </w:pPr>
      <w:r>
        <w:rPr>
          <w:b/>
          <w:bCs/>
        </w:rPr>
        <w:lastRenderedPageBreak/>
        <w:t>MEDICINA LEGALE</w:t>
      </w:r>
    </w:p>
    <w:p w14:paraId="5CB364B7" w14:textId="0B3D38CA" w:rsidR="00124008" w:rsidRDefault="00124008" w:rsidP="00124008">
      <w:r>
        <w:t>Etica, morale e deontologia</w:t>
      </w:r>
    </w:p>
    <w:p w14:paraId="0BD14015" w14:textId="239ADE1A" w:rsidR="00BE69F2" w:rsidRPr="00BE69F2" w:rsidRDefault="00BE69F2" w:rsidP="00124008">
      <w:pPr>
        <w:pStyle w:val="Paragrafoelenco"/>
        <w:numPr>
          <w:ilvl w:val="0"/>
          <w:numId w:val="1"/>
        </w:numPr>
        <w:rPr>
          <w:b/>
          <w:bCs/>
        </w:rPr>
      </w:pPr>
      <w:r>
        <w:t>La costituzione etica del maxiordine</w:t>
      </w:r>
    </w:p>
    <w:p w14:paraId="580CCE55" w14:textId="1934709F" w:rsidR="00124008" w:rsidRPr="00124008" w:rsidRDefault="00124008" w:rsidP="00124008">
      <w:pPr>
        <w:pStyle w:val="Paragrafoelenco"/>
        <w:numPr>
          <w:ilvl w:val="0"/>
          <w:numId w:val="1"/>
        </w:numPr>
        <w:rPr>
          <w:b/>
          <w:bCs/>
        </w:rPr>
      </w:pPr>
      <w:r>
        <w:t>L’interesse verso l’individuo nella promozione della salute, del benessere e della prevenzione</w:t>
      </w:r>
    </w:p>
    <w:p w14:paraId="3A9136F4" w14:textId="37CD1BFC" w:rsidR="00124008" w:rsidRPr="00124008" w:rsidRDefault="00124008" w:rsidP="00124008">
      <w:pPr>
        <w:pStyle w:val="Paragrafoelenco"/>
        <w:numPr>
          <w:ilvl w:val="0"/>
          <w:numId w:val="1"/>
        </w:numPr>
        <w:rPr>
          <w:b/>
          <w:bCs/>
        </w:rPr>
      </w:pPr>
      <w:r>
        <w:t>Evitare le discriminazioni</w:t>
      </w:r>
    </w:p>
    <w:p w14:paraId="615B9F6C" w14:textId="01E1AAD0" w:rsidR="00124008" w:rsidRPr="00124008" w:rsidRDefault="00124008" w:rsidP="00124008">
      <w:pPr>
        <w:pStyle w:val="Paragrafoelenco"/>
        <w:numPr>
          <w:ilvl w:val="0"/>
          <w:numId w:val="1"/>
        </w:numPr>
        <w:rPr>
          <w:b/>
          <w:bCs/>
        </w:rPr>
      </w:pPr>
      <w:r>
        <w:t>La dignità professionale, il comportamento e i social network</w:t>
      </w:r>
    </w:p>
    <w:p w14:paraId="65DA648D" w14:textId="2E626836" w:rsidR="00124008" w:rsidRPr="00124008" w:rsidRDefault="00124008" w:rsidP="00124008">
      <w:pPr>
        <w:pStyle w:val="Paragrafoelenco"/>
        <w:numPr>
          <w:ilvl w:val="0"/>
          <w:numId w:val="1"/>
        </w:numPr>
        <w:rPr>
          <w:b/>
          <w:bCs/>
        </w:rPr>
      </w:pPr>
      <w:r>
        <w:t>L’art.498 del codice penale</w:t>
      </w:r>
    </w:p>
    <w:p w14:paraId="3754F1A2" w14:textId="74D3EE2F" w:rsidR="00124008" w:rsidRPr="00124008" w:rsidRDefault="00124008" w:rsidP="00124008">
      <w:pPr>
        <w:pStyle w:val="Paragrafoelenco"/>
        <w:numPr>
          <w:ilvl w:val="0"/>
          <w:numId w:val="1"/>
        </w:numPr>
        <w:rPr>
          <w:b/>
          <w:bCs/>
        </w:rPr>
      </w:pPr>
      <w:r>
        <w:t>Le comunicazioni e la pubblicità promozionale</w:t>
      </w:r>
    </w:p>
    <w:p w14:paraId="2A0421D2" w14:textId="0320B124" w:rsidR="00124008" w:rsidRPr="00124008" w:rsidRDefault="00124008" w:rsidP="00124008">
      <w:pPr>
        <w:pStyle w:val="Paragrafoelenco"/>
        <w:numPr>
          <w:ilvl w:val="0"/>
          <w:numId w:val="1"/>
        </w:numPr>
        <w:rPr>
          <w:b/>
          <w:bCs/>
        </w:rPr>
      </w:pPr>
      <w:r>
        <w:t>I quattro principi fondamentali: fiducia, ascolto, rispetto e speranza</w:t>
      </w:r>
    </w:p>
    <w:p w14:paraId="444F84C6" w14:textId="3CEE1E9A" w:rsidR="00124008" w:rsidRPr="00124008" w:rsidRDefault="00124008" w:rsidP="00124008">
      <w:pPr>
        <w:pStyle w:val="Paragrafoelenco"/>
        <w:numPr>
          <w:ilvl w:val="0"/>
          <w:numId w:val="1"/>
        </w:numPr>
        <w:rPr>
          <w:b/>
          <w:bCs/>
        </w:rPr>
      </w:pPr>
      <w:r>
        <w:t>Il rapporto con i pazienti</w:t>
      </w:r>
    </w:p>
    <w:p w14:paraId="4F0EF3E2" w14:textId="279450BD" w:rsidR="00124008" w:rsidRPr="00124008" w:rsidRDefault="00124008" w:rsidP="00124008">
      <w:pPr>
        <w:pStyle w:val="Paragrafoelenco"/>
        <w:numPr>
          <w:ilvl w:val="1"/>
          <w:numId w:val="1"/>
        </w:numPr>
        <w:rPr>
          <w:b/>
          <w:bCs/>
        </w:rPr>
      </w:pPr>
      <w:r>
        <w:t>Il segreto professionale e la tutela dei dati personali</w:t>
      </w:r>
    </w:p>
    <w:p w14:paraId="5445D888" w14:textId="034744F2" w:rsidR="00124008" w:rsidRPr="00124008" w:rsidRDefault="00124008" w:rsidP="00124008">
      <w:pPr>
        <w:pStyle w:val="Paragrafoelenco"/>
        <w:numPr>
          <w:ilvl w:val="1"/>
          <w:numId w:val="1"/>
        </w:numPr>
        <w:rPr>
          <w:b/>
          <w:bCs/>
        </w:rPr>
      </w:pPr>
      <w:r>
        <w:t>Il dialogo con il paziente</w:t>
      </w:r>
    </w:p>
    <w:p w14:paraId="2D86E3B1" w14:textId="12F0EC74" w:rsidR="00124008" w:rsidRPr="00124008" w:rsidRDefault="00124008" w:rsidP="00124008">
      <w:pPr>
        <w:pStyle w:val="Paragrafoelenco"/>
        <w:numPr>
          <w:ilvl w:val="1"/>
          <w:numId w:val="1"/>
        </w:numPr>
        <w:rPr>
          <w:b/>
          <w:bCs/>
        </w:rPr>
      </w:pPr>
      <w:r>
        <w:t>L’onorario e la gratuità</w:t>
      </w:r>
    </w:p>
    <w:p w14:paraId="3F55D7E5" w14:textId="3DD179A1" w:rsidR="00124008" w:rsidRPr="00124008" w:rsidRDefault="00124008" w:rsidP="00124008">
      <w:pPr>
        <w:pStyle w:val="Paragrafoelenco"/>
        <w:numPr>
          <w:ilvl w:val="0"/>
          <w:numId w:val="1"/>
        </w:numPr>
        <w:rPr>
          <w:b/>
          <w:bCs/>
        </w:rPr>
      </w:pPr>
      <w:r>
        <w:t>il rapporto con i colleghi</w:t>
      </w:r>
    </w:p>
    <w:p w14:paraId="68E4B88B" w14:textId="2BFFD700" w:rsidR="00124008" w:rsidRPr="00124008" w:rsidRDefault="00124008" w:rsidP="00124008">
      <w:pPr>
        <w:pStyle w:val="Paragrafoelenco"/>
        <w:numPr>
          <w:ilvl w:val="0"/>
          <w:numId w:val="1"/>
        </w:numPr>
        <w:rPr>
          <w:b/>
          <w:bCs/>
        </w:rPr>
      </w:pPr>
      <w:r>
        <w:t>il giuramento professionale</w:t>
      </w:r>
    </w:p>
    <w:p w14:paraId="4F8855FA" w14:textId="606BD637" w:rsidR="00EC60AF" w:rsidRDefault="00EC60AF" w:rsidP="00EC60AF">
      <w:r>
        <w:t>Il trattamento dei dati personali</w:t>
      </w:r>
    </w:p>
    <w:p w14:paraId="2405F85D" w14:textId="18BC0B00" w:rsidR="00EC60AF" w:rsidRDefault="00EC60AF" w:rsidP="00EC60AF">
      <w:pPr>
        <w:pStyle w:val="Paragrafoelenco"/>
        <w:numPr>
          <w:ilvl w:val="0"/>
          <w:numId w:val="1"/>
        </w:numPr>
      </w:pPr>
      <w:r>
        <w:t>Definizione di dato personale</w:t>
      </w:r>
      <w:r w:rsidR="00B16EC4">
        <w:t>, comune e sensibile</w:t>
      </w:r>
    </w:p>
    <w:p w14:paraId="482B4BCF" w14:textId="0B05A22E" w:rsidR="00B16EC4" w:rsidRDefault="00B16EC4" w:rsidP="00EC60AF">
      <w:pPr>
        <w:pStyle w:val="Paragrafoelenco"/>
        <w:numPr>
          <w:ilvl w:val="0"/>
          <w:numId w:val="1"/>
        </w:numPr>
      </w:pPr>
      <w:r>
        <w:t>Il Regolamento Generale sulla Protezione dei Dati G.D.P.R.</w:t>
      </w:r>
    </w:p>
    <w:p w14:paraId="4752416C" w14:textId="5A5CD4DD" w:rsidR="00EC60AF" w:rsidRDefault="00EC60AF" w:rsidP="00EC60AF">
      <w:pPr>
        <w:pStyle w:val="Paragrafoelenco"/>
        <w:numPr>
          <w:ilvl w:val="0"/>
          <w:numId w:val="1"/>
        </w:numPr>
      </w:pPr>
      <w:r>
        <w:t>L’accountability e la portabilità</w:t>
      </w:r>
    </w:p>
    <w:p w14:paraId="25AE979B" w14:textId="365F135A" w:rsidR="00EC60AF" w:rsidRDefault="00EC60AF" w:rsidP="00EC60AF">
      <w:pPr>
        <w:pStyle w:val="Paragrafoelenco"/>
        <w:numPr>
          <w:ilvl w:val="0"/>
          <w:numId w:val="1"/>
        </w:numPr>
      </w:pPr>
      <w:r>
        <w:t>Il Registro dell’attività di trattamento</w:t>
      </w:r>
    </w:p>
    <w:p w14:paraId="066C9CC3" w14:textId="1205D89A" w:rsidR="00B16EC4" w:rsidRDefault="00B16EC4" w:rsidP="00B16EC4">
      <w:pPr>
        <w:pStyle w:val="Paragrafoelenco"/>
        <w:numPr>
          <w:ilvl w:val="1"/>
          <w:numId w:val="1"/>
        </w:numPr>
      </w:pPr>
      <w:r>
        <w:t>Tutela dei dati sensibili su supporto informatico</w:t>
      </w:r>
    </w:p>
    <w:p w14:paraId="6935BB8E" w14:textId="4E2C8457" w:rsidR="00B16EC4" w:rsidRDefault="00B16EC4" w:rsidP="00B16EC4">
      <w:pPr>
        <w:pStyle w:val="Paragrafoelenco"/>
        <w:numPr>
          <w:ilvl w:val="1"/>
          <w:numId w:val="1"/>
        </w:numPr>
      </w:pPr>
      <w:r>
        <w:t>Tutela dei dati sensibili su carta</w:t>
      </w:r>
    </w:p>
    <w:p w14:paraId="78764134" w14:textId="7520E7F3" w:rsidR="00EC60AF" w:rsidRDefault="00EC60AF" w:rsidP="00EC60AF">
      <w:pPr>
        <w:pStyle w:val="Paragrafoelenco"/>
        <w:numPr>
          <w:ilvl w:val="0"/>
          <w:numId w:val="1"/>
        </w:numPr>
      </w:pPr>
      <w:r>
        <w:t>L’informativa</w:t>
      </w:r>
    </w:p>
    <w:p w14:paraId="0A6F4812" w14:textId="3ECC5BCF" w:rsidR="00EC60AF" w:rsidRDefault="00EC60AF" w:rsidP="00EC60AF">
      <w:pPr>
        <w:pStyle w:val="Paragrafoelenco"/>
        <w:numPr>
          <w:ilvl w:val="0"/>
          <w:numId w:val="1"/>
        </w:numPr>
      </w:pPr>
      <w:r>
        <w:t>Il consenso informato privacy</w:t>
      </w:r>
    </w:p>
    <w:p w14:paraId="2EAF01E6" w14:textId="659D90A7" w:rsidR="00EC60AF" w:rsidRDefault="00EC60AF" w:rsidP="00EC60AF">
      <w:pPr>
        <w:pStyle w:val="Paragrafoelenco"/>
        <w:numPr>
          <w:ilvl w:val="0"/>
          <w:numId w:val="1"/>
        </w:numPr>
      </w:pPr>
      <w:r>
        <w:t xml:space="preserve">Le misure di sicurezza </w:t>
      </w:r>
      <w:r w:rsidR="00B16EC4">
        <w:t>essenziali</w:t>
      </w:r>
    </w:p>
    <w:p w14:paraId="649674BC" w14:textId="341495E5" w:rsidR="000031F4" w:rsidRDefault="000031F4" w:rsidP="00EC60AF">
      <w:pPr>
        <w:pStyle w:val="Paragrafoelenco"/>
        <w:numPr>
          <w:ilvl w:val="0"/>
          <w:numId w:val="1"/>
        </w:numPr>
      </w:pPr>
      <w:r>
        <w:t>Le regole generali per la tutela dei dati</w:t>
      </w:r>
    </w:p>
    <w:p w14:paraId="7D2BF22C" w14:textId="4C211CB9" w:rsidR="000031F4" w:rsidRDefault="000031F4" w:rsidP="00EC60AF">
      <w:pPr>
        <w:pStyle w:val="Paragrafoelenco"/>
        <w:numPr>
          <w:ilvl w:val="0"/>
          <w:numId w:val="1"/>
        </w:numPr>
      </w:pPr>
      <w:r>
        <w:t xml:space="preserve">Il data </w:t>
      </w:r>
      <w:proofErr w:type="spellStart"/>
      <w:r>
        <w:t>breach</w:t>
      </w:r>
      <w:proofErr w:type="spellEnd"/>
    </w:p>
    <w:p w14:paraId="3B219313" w14:textId="358A685B" w:rsidR="000031F4" w:rsidRDefault="000031F4" w:rsidP="00EC60AF">
      <w:pPr>
        <w:pStyle w:val="Paragrafoelenco"/>
        <w:numPr>
          <w:ilvl w:val="0"/>
          <w:numId w:val="1"/>
        </w:numPr>
      </w:pPr>
      <w:r>
        <w:t>La lettera di incarico a personale di segreteria</w:t>
      </w:r>
    </w:p>
    <w:p w14:paraId="2EF28809" w14:textId="693BE0A4" w:rsidR="000031F4" w:rsidRDefault="000031F4" w:rsidP="00EC60AF">
      <w:pPr>
        <w:pStyle w:val="Paragrafoelenco"/>
        <w:numPr>
          <w:ilvl w:val="0"/>
          <w:numId w:val="1"/>
        </w:numPr>
      </w:pPr>
      <w:r>
        <w:t>La lettera di incarico a personale sanitario</w:t>
      </w:r>
    </w:p>
    <w:p w14:paraId="4CF53D1E" w14:textId="596A4730" w:rsidR="00EC60AF" w:rsidRDefault="00EC60AF" w:rsidP="00EC60AF">
      <w:pPr>
        <w:pStyle w:val="Paragrafoelenco"/>
        <w:numPr>
          <w:ilvl w:val="0"/>
          <w:numId w:val="1"/>
        </w:numPr>
      </w:pPr>
      <w:r>
        <w:t xml:space="preserve">L’attività ispettiva </w:t>
      </w:r>
      <w:r w:rsidR="000031F4">
        <w:t xml:space="preserve">del Garante o </w:t>
      </w:r>
      <w:r>
        <w:t>della G</w:t>
      </w:r>
      <w:r w:rsidR="000031F4">
        <w:t xml:space="preserve">uardia </w:t>
      </w:r>
      <w:r>
        <w:t>d</w:t>
      </w:r>
      <w:r w:rsidR="000031F4">
        <w:t xml:space="preserve">i </w:t>
      </w:r>
      <w:r>
        <w:t>F</w:t>
      </w:r>
      <w:r w:rsidR="000031F4">
        <w:t>inanza</w:t>
      </w:r>
    </w:p>
    <w:p w14:paraId="1D70BCB1" w14:textId="08408C1B" w:rsidR="000031F4" w:rsidRDefault="000031F4" w:rsidP="000031F4">
      <w:pPr>
        <w:pStyle w:val="Paragrafoelenco"/>
        <w:numPr>
          <w:ilvl w:val="1"/>
          <w:numId w:val="1"/>
        </w:numPr>
      </w:pPr>
      <w:r>
        <w:t>L’ispezione</w:t>
      </w:r>
    </w:p>
    <w:p w14:paraId="04CD1776" w14:textId="26D18FE5" w:rsidR="000031F4" w:rsidRDefault="000031F4" w:rsidP="000031F4">
      <w:pPr>
        <w:pStyle w:val="Paragrafoelenco"/>
        <w:numPr>
          <w:ilvl w:val="1"/>
          <w:numId w:val="1"/>
        </w:numPr>
      </w:pPr>
      <w:r>
        <w:t>Le domande possibili</w:t>
      </w:r>
    </w:p>
    <w:p w14:paraId="122E2D51" w14:textId="4B27003F" w:rsidR="000031F4" w:rsidRDefault="000031F4" w:rsidP="000031F4">
      <w:pPr>
        <w:pStyle w:val="Paragrafoelenco"/>
        <w:numPr>
          <w:ilvl w:val="1"/>
          <w:numId w:val="1"/>
        </w:numPr>
      </w:pPr>
      <w:r>
        <w:t>Cosa predisporre</w:t>
      </w:r>
    </w:p>
    <w:p w14:paraId="0D301B01" w14:textId="632A0A24" w:rsidR="000031F4" w:rsidRDefault="000031F4" w:rsidP="000031F4">
      <w:pPr>
        <w:pStyle w:val="Paragrafoelenco"/>
        <w:numPr>
          <w:ilvl w:val="1"/>
          <w:numId w:val="1"/>
        </w:numPr>
      </w:pPr>
      <w:r>
        <w:t>Il comportamento da tenere</w:t>
      </w:r>
    </w:p>
    <w:p w14:paraId="4523010C" w14:textId="77777777" w:rsidR="00B16EC4" w:rsidRDefault="00B16EC4" w:rsidP="00C36D2A"/>
    <w:p w14:paraId="7D125860" w14:textId="3406F9EF" w:rsidR="00B16EC4" w:rsidRDefault="00B16EC4" w:rsidP="00C36D2A">
      <w:r>
        <w:t>Il consenso informato sanitario o osteopatico</w:t>
      </w:r>
    </w:p>
    <w:p w14:paraId="01519B0F" w14:textId="7590ECBF" w:rsidR="00B16EC4" w:rsidRDefault="00B16EC4" w:rsidP="00B16EC4">
      <w:pPr>
        <w:pStyle w:val="Paragrafoelenco"/>
        <w:numPr>
          <w:ilvl w:val="0"/>
          <w:numId w:val="1"/>
        </w:numPr>
      </w:pPr>
      <w:r>
        <w:t>Il consenso informato</w:t>
      </w:r>
      <w:r>
        <w:t xml:space="preserve"> sanitario: caratteristiche</w:t>
      </w:r>
    </w:p>
    <w:p w14:paraId="32B63E54" w14:textId="77777777" w:rsidR="00B16EC4" w:rsidRDefault="00B16EC4" w:rsidP="00B16EC4">
      <w:pPr>
        <w:pStyle w:val="Paragrafoelenco"/>
        <w:numPr>
          <w:ilvl w:val="0"/>
          <w:numId w:val="1"/>
        </w:numPr>
      </w:pPr>
      <w:r>
        <w:t>Il diritto all’autodeterminazione</w:t>
      </w:r>
    </w:p>
    <w:p w14:paraId="27EE65F0" w14:textId="75D5D037" w:rsidR="00B16EC4" w:rsidRDefault="00B16EC4" w:rsidP="00B16EC4">
      <w:pPr>
        <w:pStyle w:val="Paragrafoelenco"/>
        <w:numPr>
          <w:ilvl w:val="1"/>
          <w:numId w:val="1"/>
        </w:numPr>
      </w:pPr>
      <w:r>
        <w:t>Sentenza Cassazione Civile sez.31234/2018</w:t>
      </w:r>
    </w:p>
    <w:p w14:paraId="25C0C8BC" w14:textId="3D2506C7" w:rsidR="00B16EC4" w:rsidRDefault="00B16EC4" w:rsidP="00B16EC4">
      <w:pPr>
        <w:pStyle w:val="Paragrafoelenco"/>
        <w:numPr>
          <w:ilvl w:val="1"/>
          <w:numId w:val="1"/>
        </w:numPr>
      </w:pPr>
      <w:r>
        <w:t>Il risarcimento del danno da violazione del diritto all’autodeterminazione</w:t>
      </w:r>
    </w:p>
    <w:p w14:paraId="1FAB86C2" w14:textId="253CBBEB" w:rsidR="00B16EC4" w:rsidRDefault="00B16EC4" w:rsidP="00B16EC4">
      <w:pPr>
        <w:pStyle w:val="Paragrafoelenco"/>
        <w:numPr>
          <w:ilvl w:val="1"/>
          <w:numId w:val="1"/>
        </w:numPr>
      </w:pPr>
      <w:r>
        <w:t>Il consenso informato dei minori o degli interdetti</w:t>
      </w:r>
    </w:p>
    <w:p w14:paraId="3339C709" w14:textId="3466C8DA" w:rsidR="00B16EC4" w:rsidRDefault="00B16EC4" w:rsidP="00B16EC4">
      <w:pPr>
        <w:pStyle w:val="Paragrafoelenco"/>
        <w:numPr>
          <w:ilvl w:val="1"/>
          <w:numId w:val="1"/>
        </w:numPr>
      </w:pPr>
      <w:r>
        <w:t>La capacità giuridica</w:t>
      </w:r>
    </w:p>
    <w:p w14:paraId="784C3F7C" w14:textId="50D714FC" w:rsidR="00B16EC4" w:rsidRDefault="00B16EC4" w:rsidP="00B16EC4">
      <w:pPr>
        <w:pStyle w:val="Paragrafoelenco"/>
        <w:numPr>
          <w:ilvl w:val="1"/>
          <w:numId w:val="1"/>
        </w:numPr>
      </w:pPr>
      <w:r>
        <w:t>La capacità di agire</w:t>
      </w:r>
    </w:p>
    <w:p w14:paraId="7B9AEBB6" w14:textId="77777777" w:rsidR="00B16EC4" w:rsidRDefault="00B16EC4" w:rsidP="00C36D2A"/>
    <w:p w14:paraId="688CFDBC" w14:textId="6AEC0F42" w:rsidR="00C36D2A" w:rsidRDefault="00C36D2A" w:rsidP="00C36D2A">
      <w:r>
        <w:lastRenderedPageBreak/>
        <w:t>La responsabilità penale dell’osteopata</w:t>
      </w:r>
    </w:p>
    <w:p w14:paraId="7DD3BA3C" w14:textId="6B75C80E" w:rsidR="00C36D2A" w:rsidRDefault="00C36D2A" w:rsidP="00C36D2A">
      <w:pPr>
        <w:pStyle w:val="Paragrafoelenco"/>
        <w:numPr>
          <w:ilvl w:val="0"/>
          <w:numId w:val="1"/>
        </w:numPr>
      </w:pPr>
      <w:r>
        <w:t xml:space="preserve">L’articolo 348 del codice penale: l’esercizio abusivo di una professione </w:t>
      </w:r>
    </w:p>
    <w:p w14:paraId="20889EAC" w14:textId="6696B6CF" w:rsidR="00C36D2A" w:rsidRDefault="00C36D2A" w:rsidP="00C36D2A">
      <w:pPr>
        <w:pStyle w:val="Paragrafoelenco"/>
        <w:numPr>
          <w:ilvl w:val="0"/>
          <w:numId w:val="1"/>
        </w:numPr>
      </w:pPr>
      <w:r>
        <w:t xml:space="preserve">Esame </w:t>
      </w:r>
      <w:r w:rsidR="000031F4">
        <w:t xml:space="preserve">dei dispositivi </w:t>
      </w:r>
      <w:r>
        <w:t>delle sentenze</w:t>
      </w:r>
      <w:r w:rsidR="000031F4">
        <w:t>:</w:t>
      </w:r>
      <w:r>
        <w:t xml:space="preserve"> </w:t>
      </w:r>
    </w:p>
    <w:p w14:paraId="053F7CD1" w14:textId="69C58C96" w:rsidR="000031F4" w:rsidRDefault="000031F4" w:rsidP="000031F4">
      <w:pPr>
        <w:pStyle w:val="Paragrafoelenco"/>
        <w:numPr>
          <w:ilvl w:val="1"/>
          <w:numId w:val="1"/>
        </w:numPr>
      </w:pPr>
      <w:r>
        <w:t>Tribunale Genova 23 luglio 2003</w:t>
      </w:r>
    </w:p>
    <w:p w14:paraId="1518875B" w14:textId="10FE504A" w:rsidR="000031F4" w:rsidRDefault="000031F4" w:rsidP="000031F4">
      <w:pPr>
        <w:pStyle w:val="Paragrafoelenco"/>
        <w:numPr>
          <w:ilvl w:val="1"/>
          <w:numId w:val="1"/>
        </w:numPr>
      </w:pPr>
      <w:r>
        <w:t>Tribunale di Casale Monferrato 285/2008</w:t>
      </w:r>
    </w:p>
    <w:p w14:paraId="4401C6E3" w14:textId="1E81096F" w:rsidR="000031F4" w:rsidRDefault="000031F4" w:rsidP="000031F4">
      <w:pPr>
        <w:pStyle w:val="Paragrafoelenco"/>
        <w:numPr>
          <w:ilvl w:val="1"/>
          <w:numId w:val="1"/>
        </w:numPr>
      </w:pPr>
      <w:r>
        <w:t>Cassazione Penale, sezione II, sentenza 5838/1995</w:t>
      </w:r>
    </w:p>
    <w:p w14:paraId="405D5A01" w14:textId="690B4F4A" w:rsidR="000031F4" w:rsidRDefault="000031F4" w:rsidP="000031F4">
      <w:pPr>
        <w:pStyle w:val="Paragrafoelenco"/>
        <w:numPr>
          <w:ilvl w:val="2"/>
          <w:numId w:val="1"/>
        </w:numPr>
      </w:pPr>
      <w:r>
        <w:t>Concetto di anamnesi medica</w:t>
      </w:r>
    </w:p>
    <w:p w14:paraId="48F5F09B" w14:textId="09BE7858" w:rsidR="000031F4" w:rsidRDefault="000031F4" w:rsidP="000031F4">
      <w:pPr>
        <w:pStyle w:val="Paragrafoelenco"/>
        <w:numPr>
          <w:ilvl w:val="2"/>
          <w:numId w:val="1"/>
        </w:numPr>
      </w:pPr>
      <w:r>
        <w:t xml:space="preserve">Concetto di diagnosi </w:t>
      </w:r>
    </w:p>
    <w:p w14:paraId="17618157" w14:textId="1F3676AF" w:rsidR="000031F4" w:rsidRDefault="000031F4" w:rsidP="000031F4">
      <w:pPr>
        <w:pStyle w:val="Paragrafoelenco"/>
        <w:numPr>
          <w:ilvl w:val="2"/>
          <w:numId w:val="1"/>
        </w:numPr>
      </w:pPr>
      <w:r>
        <w:t>Concetto di terapia</w:t>
      </w:r>
    </w:p>
    <w:p w14:paraId="66BBC66A" w14:textId="77777777" w:rsidR="000031F4" w:rsidRDefault="000031F4" w:rsidP="000031F4">
      <w:pPr>
        <w:pStyle w:val="Paragrafoelenco"/>
        <w:numPr>
          <w:ilvl w:val="2"/>
          <w:numId w:val="1"/>
        </w:numPr>
      </w:pPr>
      <w:r>
        <w:t>Concetto di certificato medico</w:t>
      </w:r>
    </w:p>
    <w:p w14:paraId="43219AAB" w14:textId="5C664C40" w:rsidR="000031F4" w:rsidRDefault="000031F4" w:rsidP="000031F4">
      <w:pPr>
        <w:pStyle w:val="Paragrafoelenco"/>
        <w:numPr>
          <w:ilvl w:val="1"/>
          <w:numId w:val="1"/>
        </w:numPr>
      </w:pPr>
      <w:r>
        <w:t>Cassazione Penale, sezione VI, sentenza 3403/1995</w:t>
      </w:r>
    </w:p>
    <w:p w14:paraId="689224DD" w14:textId="23CFAF88" w:rsidR="000031F4" w:rsidRDefault="000031F4" w:rsidP="000031F4">
      <w:pPr>
        <w:pStyle w:val="Paragrafoelenco"/>
        <w:numPr>
          <w:ilvl w:val="1"/>
          <w:numId w:val="1"/>
        </w:numPr>
      </w:pPr>
      <w:r>
        <w:t>Cassazione Penale, sentenza 9089/1995</w:t>
      </w:r>
    </w:p>
    <w:p w14:paraId="72A77609" w14:textId="77777777" w:rsidR="000031F4" w:rsidRDefault="000031F4" w:rsidP="000031F4">
      <w:pPr>
        <w:pStyle w:val="Paragrafoelenco"/>
        <w:numPr>
          <w:ilvl w:val="1"/>
          <w:numId w:val="1"/>
        </w:numPr>
      </w:pPr>
      <w:r>
        <w:t>Corte Costituzionale, ordinanza 149/1988</w:t>
      </w:r>
      <w:r w:rsidRPr="000031F4">
        <w:t xml:space="preserve"> </w:t>
      </w:r>
    </w:p>
    <w:p w14:paraId="1963CDC2" w14:textId="29F33791" w:rsidR="000031F4" w:rsidRDefault="000031F4" w:rsidP="000031F4">
      <w:pPr>
        <w:pStyle w:val="Paragrafoelenco"/>
        <w:numPr>
          <w:ilvl w:val="1"/>
          <w:numId w:val="1"/>
        </w:numPr>
      </w:pPr>
      <w:r>
        <w:t>Cassazione Penale, sezione VI, sentenza 16626/2005</w:t>
      </w:r>
    </w:p>
    <w:p w14:paraId="2F2A9680" w14:textId="6AF59B6E" w:rsidR="000031F4" w:rsidRDefault="000031F4" w:rsidP="000031F4">
      <w:pPr>
        <w:pStyle w:val="Paragrafoelenco"/>
        <w:numPr>
          <w:ilvl w:val="1"/>
          <w:numId w:val="1"/>
        </w:numPr>
      </w:pPr>
      <w:r>
        <w:t>Cassazione Penale, sezione VI, sentenza 8885/2016</w:t>
      </w:r>
    </w:p>
    <w:p w14:paraId="64908233" w14:textId="222D7107" w:rsidR="000031F4" w:rsidRDefault="000031F4" w:rsidP="000031F4">
      <w:pPr>
        <w:pStyle w:val="Paragrafoelenco"/>
        <w:numPr>
          <w:ilvl w:val="1"/>
          <w:numId w:val="1"/>
        </w:numPr>
      </w:pPr>
      <w:r>
        <w:t>T.A.R. Lombardia, sezione III, sentenza 588/2011</w:t>
      </w:r>
    </w:p>
    <w:p w14:paraId="460CD7BC" w14:textId="1B8621C1" w:rsidR="000031F4" w:rsidRDefault="000031F4" w:rsidP="000031F4">
      <w:pPr>
        <w:pStyle w:val="Paragrafoelenco"/>
        <w:numPr>
          <w:ilvl w:val="1"/>
          <w:numId w:val="1"/>
        </w:numPr>
      </w:pPr>
      <w:r>
        <w:t xml:space="preserve">T.A.R. Veneto, sezione III, </w:t>
      </w:r>
      <w:r w:rsidR="00BF3F69">
        <w:t>ordinanza 298/2007</w:t>
      </w:r>
    </w:p>
    <w:p w14:paraId="4B78137E" w14:textId="718C6985" w:rsidR="00C36D2A" w:rsidRDefault="00C36D2A" w:rsidP="00C36D2A">
      <w:pPr>
        <w:pStyle w:val="Paragrafoelenco"/>
        <w:numPr>
          <w:ilvl w:val="0"/>
          <w:numId w:val="1"/>
        </w:numPr>
      </w:pPr>
      <w:r>
        <w:t>La sentenza del T.A.R. Catania del 20 agosto 2021</w:t>
      </w:r>
    </w:p>
    <w:p w14:paraId="4422E9D1" w14:textId="413A62EE" w:rsidR="00BF3F69" w:rsidRDefault="00BF3F69" w:rsidP="00C36D2A">
      <w:pPr>
        <w:pStyle w:val="Paragrafoelenco"/>
        <w:numPr>
          <w:ilvl w:val="0"/>
          <w:numId w:val="1"/>
        </w:numPr>
      </w:pPr>
      <w:r>
        <w:t>La lesione personale</w:t>
      </w:r>
    </w:p>
    <w:p w14:paraId="1D986C1F" w14:textId="10321273" w:rsidR="00BF3F69" w:rsidRDefault="00BF3F69" w:rsidP="00C36D2A">
      <w:pPr>
        <w:pStyle w:val="Paragrafoelenco"/>
        <w:numPr>
          <w:ilvl w:val="0"/>
          <w:numId w:val="1"/>
        </w:numPr>
      </w:pPr>
      <w:r>
        <w:t>L’omicidio colposo</w:t>
      </w:r>
    </w:p>
    <w:p w14:paraId="32B91565" w14:textId="24EA289A" w:rsidR="00C36D2A" w:rsidRDefault="00BF3F69" w:rsidP="00C36D2A">
      <w:pPr>
        <w:pStyle w:val="Paragrafoelenco"/>
        <w:numPr>
          <w:ilvl w:val="0"/>
          <w:numId w:val="1"/>
        </w:numPr>
      </w:pPr>
      <w:r>
        <w:t xml:space="preserve">La </w:t>
      </w:r>
      <w:r w:rsidR="00C36D2A">
        <w:t>violenza privata</w:t>
      </w:r>
      <w:r>
        <w:t>: un caso</w:t>
      </w:r>
      <w:r w:rsidR="00C36D2A">
        <w:t xml:space="preserve"> ad opera di un osteopata</w:t>
      </w:r>
    </w:p>
    <w:p w14:paraId="6C7A1122" w14:textId="7E698110" w:rsidR="00BF3F69" w:rsidRDefault="00BF3F69" w:rsidP="00BF3F69">
      <w:pPr>
        <w:pStyle w:val="Paragrafoelenco"/>
        <w:numPr>
          <w:ilvl w:val="0"/>
          <w:numId w:val="1"/>
        </w:numPr>
      </w:pPr>
      <w:r>
        <w:t xml:space="preserve">La </w:t>
      </w:r>
      <w:r w:rsidR="00C36D2A">
        <w:t>violenza sessuale</w:t>
      </w:r>
      <w:r>
        <w:t>: un caso</w:t>
      </w:r>
      <w:r w:rsidR="00C36D2A">
        <w:t xml:space="preserve"> ad opera di un osteopata</w:t>
      </w:r>
    </w:p>
    <w:p w14:paraId="1B7E11FB" w14:textId="596A3AE5" w:rsidR="00BF3F69" w:rsidRDefault="00BF3F69" w:rsidP="00BF3F69">
      <w:pPr>
        <w:pStyle w:val="Paragrafoelenco"/>
        <w:numPr>
          <w:ilvl w:val="0"/>
          <w:numId w:val="1"/>
        </w:numPr>
      </w:pPr>
      <w:r>
        <w:t>Il giudizio di responsabilità penale</w:t>
      </w:r>
    </w:p>
    <w:p w14:paraId="620E761D" w14:textId="7115E0C0" w:rsidR="00BF3F69" w:rsidRDefault="00BF3F69" w:rsidP="00BF3F69">
      <w:pPr>
        <w:pStyle w:val="Paragrafoelenco"/>
        <w:numPr>
          <w:ilvl w:val="0"/>
          <w:numId w:val="1"/>
        </w:numPr>
      </w:pPr>
      <w:r>
        <w:t>Il fatto tipico</w:t>
      </w:r>
    </w:p>
    <w:p w14:paraId="3C627C63" w14:textId="202B5CFF" w:rsidR="00BF3F69" w:rsidRDefault="00BF3F69" w:rsidP="00BF3F69">
      <w:pPr>
        <w:pStyle w:val="Paragrafoelenco"/>
        <w:numPr>
          <w:ilvl w:val="1"/>
          <w:numId w:val="1"/>
        </w:numPr>
      </w:pPr>
      <w:r>
        <w:t>La condotta del soggetto attivo</w:t>
      </w:r>
    </w:p>
    <w:p w14:paraId="795F4D5C" w14:textId="6472A09F" w:rsidR="00BF3F69" w:rsidRDefault="00BF3F69" w:rsidP="00BF3F69">
      <w:pPr>
        <w:pStyle w:val="Paragrafoelenco"/>
        <w:numPr>
          <w:ilvl w:val="1"/>
          <w:numId w:val="1"/>
        </w:numPr>
      </w:pPr>
      <w:r>
        <w:t>L’evento conseguenza della condotta del soggetto</w:t>
      </w:r>
    </w:p>
    <w:p w14:paraId="695E7FE5" w14:textId="28E31F40" w:rsidR="00BF3F69" w:rsidRDefault="00BF3F69" w:rsidP="00BF3F69">
      <w:pPr>
        <w:pStyle w:val="Paragrafoelenco"/>
        <w:numPr>
          <w:ilvl w:val="1"/>
          <w:numId w:val="1"/>
        </w:numPr>
      </w:pPr>
      <w:r>
        <w:t>Il nesso di causalità</w:t>
      </w:r>
    </w:p>
    <w:p w14:paraId="2DFA81A3" w14:textId="397817C4" w:rsidR="00BF3F69" w:rsidRDefault="00BF3F69" w:rsidP="00BF3F69">
      <w:pPr>
        <w:pStyle w:val="Paragrafoelenco"/>
        <w:numPr>
          <w:ilvl w:val="0"/>
          <w:numId w:val="1"/>
        </w:numPr>
      </w:pPr>
      <w:r>
        <w:t>Il dolo</w:t>
      </w:r>
    </w:p>
    <w:p w14:paraId="2B3228EF" w14:textId="3A155281" w:rsidR="00BF3F69" w:rsidRDefault="00BF3F69" w:rsidP="00BF3F69">
      <w:pPr>
        <w:pStyle w:val="Paragrafoelenco"/>
        <w:numPr>
          <w:ilvl w:val="0"/>
          <w:numId w:val="1"/>
        </w:numPr>
      </w:pPr>
      <w:r>
        <w:t>La colpa</w:t>
      </w:r>
    </w:p>
    <w:p w14:paraId="4DECDC18" w14:textId="68901C18" w:rsidR="00BF3F69" w:rsidRDefault="00BF3F69" w:rsidP="00BF3F69">
      <w:pPr>
        <w:pStyle w:val="Paragrafoelenco"/>
        <w:numPr>
          <w:ilvl w:val="1"/>
          <w:numId w:val="1"/>
        </w:numPr>
      </w:pPr>
      <w:r>
        <w:t>Negligenza</w:t>
      </w:r>
    </w:p>
    <w:p w14:paraId="0C4E2811" w14:textId="52E9F306" w:rsidR="00BF3F69" w:rsidRDefault="00BF3F69" w:rsidP="00BF3F69">
      <w:pPr>
        <w:pStyle w:val="Paragrafoelenco"/>
        <w:numPr>
          <w:ilvl w:val="1"/>
          <w:numId w:val="1"/>
        </w:numPr>
      </w:pPr>
      <w:r>
        <w:t>Imprudenza</w:t>
      </w:r>
    </w:p>
    <w:p w14:paraId="624084E8" w14:textId="3FA15668" w:rsidR="00BF3F69" w:rsidRDefault="00BF3F69" w:rsidP="00BF3F69">
      <w:pPr>
        <w:pStyle w:val="Paragrafoelenco"/>
        <w:numPr>
          <w:ilvl w:val="1"/>
          <w:numId w:val="1"/>
        </w:numPr>
      </w:pPr>
      <w:r>
        <w:t>imperizia</w:t>
      </w:r>
    </w:p>
    <w:p w14:paraId="42AC064C" w14:textId="645EF021" w:rsidR="00BF3F69" w:rsidRDefault="00BF3F69" w:rsidP="00BF3F69">
      <w:pPr>
        <w:pStyle w:val="Paragrafoelenco"/>
        <w:numPr>
          <w:ilvl w:val="0"/>
          <w:numId w:val="1"/>
        </w:numPr>
      </w:pPr>
      <w:r>
        <w:t>Il ragionevole dubbio</w:t>
      </w:r>
    </w:p>
    <w:p w14:paraId="5FE3323A" w14:textId="6BD873E7" w:rsidR="00C36D2A" w:rsidRDefault="00C36D2A" w:rsidP="00C36D2A">
      <w:r>
        <w:t>La responsabilità civile dell’osteopata</w:t>
      </w:r>
    </w:p>
    <w:p w14:paraId="69E3481F" w14:textId="66DDDB1E" w:rsidR="00C36D2A" w:rsidRDefault="00C36D2A" w:rsidP="00C36D2A">
      <w:pPr>
        <w:pStyle w:val="Paragrafoelenco"/>
        <w:numPr>
          <w:ilvl w:val="0"/>
          <w:numId w:val="1"/>
        </w:numPr>
      </w:pPr>
      <w:r>
        <w:t>Il risarcimento del danno</w:t>
      </w:r>
    </w:p>
    <w:p w14:paraId="0D9921FF" w14:textId="11F1209C" w:rsidR="00BF3F69" w:rsidRDefault="00BF3F69" w:rsidP="00C36D2A">
      <w:pPr>
        <w:pStyle w:val="Paragrafoelenco"/>
        <w:numPr>
          <w:ilvl w:val="0"/>
          <w:numId w:val="1"/>
        </w:numPr>
      </w:pPr>
      <w:r>
        <w:t>L’onere della prova del paziente danneggiato</w:t>
      </w:r>
    </w:p>
    <w:p w14:paraId="4CA7CC85" w14:textId="3A26D4C7" w:rsidR="00BF3F69" w:rsidRDefault="00BF3F69" w:rsidP="00C36D2A">
      <w:pPr>
        <w:pStyle w:val="Paragrafoelenco"/>
        <w:numPr>
          <w:ilvl w:val="0"/>
          <w:numId w:val="1"/>
        </w:numPr>
      </w:pPr>
      <w:r>
        <w:t xml:space="preserve">L’onere della prova del professionista </w:t>
      </w:r>
    </w:p>
    <w:p w14:paraId="682BEABC" w14:textId="4AC4611A" w:rsidR="00C36D2A" w:rsidRDefault="00C36D2A" w:rsidP="00C36D2A">
      <w:pPr>
        <w:pStyle w:val="Paragrafoelenco"/>
        <w:numPr>
          <w:ilvl w:val="0"/>
          <w:numId w:val="1"/>
        </w:numPr>
      </w:pPr>
      <w:r>
        <w:t>La regola del “più probabile che non”</w:t>
      </w:r>
    </w:p>
    <w:p w14:paraId="6ACE0DF7" w14:textId="68FCA70B" w:rsidR="00C36D2A" w:rsidRDefault="00BF3F69" w:rsidP="00C36D2A">
      <w:pPr>
        <w:pStyle w:val="Paragrafoelenco"/>
        <w:numPr>
          <w:ilvl w:val="0"/>
          <w:numId w:val="1"/>
        </w:numPr>
      </w:pPr>
      <w:r>
        <w:t>L</w:t>
      </w:r>
      <w:r w:rsidR="00C36D2A">
        <w:t>a legge Gelli-Bianco</w:t>
      </w:r>
    </w:p>
    <w:p w14:paraId="59C3F5FC" w14:textId="1E249F74" w:rsidR="00C36D2A" w:rsidRDefault="00C36D2A" w:rsidP="00C36D2A">
      <w:pPr>
        <w:pStyle w:val="Paragrafoelenco"/>
        <w:numPr>
          <w:ilvl w:val="0"/>
          <w:numId w:val="1"/>
        </w:numPr>
      </w:pPr>
      <w:r>
        <w:t>La fondamentale importanza dell’assicurazione</w:t>
      </w:r>
    </w:p>
    <w:p w14:paraId="7E05DFF5" w14:textId="1FA94E41" w:rsidR="00C36D2A" w:rsidRDefault="00C36D2A" w:rsidP="00C36D2A">
      <w:pPr>
        <w:pStyle w:val="Paragrafoelenco"/>
        <w:numPr>
          <w:ilvl w:val="0"/>
          <w:numId w:val="1"/>
        </w:numPr>
      </w:pPr>
      <w:r>
        <w:t>Quali sono le clausole da evitare nella polizza</w:t>
      </w:r>
    </w:p>
    <w:p w14:paraId="0E7264B6" w14:textId="77777777" w:rsidR="00BF3F69" w:rsidRDefault="00BF3F69" w:rsidP="00C36D2A"/>
    <w:p w14:paraId="4E29DE90" w14:textId="77777777" w:rsidR="00BF3F69" w:rsidRDefault="00BF3F69" w:rsidP="00C36D2A"/>
    <w:p w14:paraId="7FA4CBB2" w14:textId="77777777" w:rsidR="00BF3F69" w:rsidRDefault="00BF3F69" w:rsidP="00C36D2A"/>
    <w:p w14:paraId="313FCDF8" w14:textId="77777777" w:rsidR="00BF3F69" w:rsidRDefault="00BF3F69">
      <w:r>
        <w:br w:type="page"/>
      </w:r>
    </w:p>
    <w:p w14:paraId="1ED78A2D" w14:textId="6B1B89AD" w:rsidR="00BF3F69" w:rsidRPr="00BF3F69" w:rsidRDefault="00BF3F69" w:rsidP="00C36D2A">
      <w:pPr>
        <w:rPr>
          <w:b/>
          <w:bCs/>
        </w:rPr>
      </w:pPr>
      <w:r>
        <w:rPr>
          <w:b/>
          <w:bCs/>
        </w:rPr>
        <w:lastRenderedPageBreak/>
        <w:t>APPROFONDIMENTI</w:t>
      </w:r>
    </w:p>
    <w:p w14:paraId="3D2BD03B" w14:textId="77CD6CE5" w:rsidR="00C36D2A" w:rsidRPr="00817A1C" w:rsidRDefault="00C36D2A" w:rsidP="00C36D2A">
      <w:pPr>
        <w:rPr>
          <w:b/>
          <w:bCs/>
        </w:rPr>
      </w:pPr>
      <w:r w:rsidRPr="00817A1C">
        <w:rPr>
          <w:b/>
          <w:bCs/>
        </w:rPr>
        <w:t>L’osteopatia all’estero</w:t>
      </w:r>
    </w:p>
    <w:p w14:paraId="0EB4205E" w14:textId="079CBABC" w:rsidR="00C36D2A" w:rsidRDefault="00C36D2A" w:rsidP="00C36D2A">
      <w:pPr>
        <w:pStyle w:val="Paragrafoelenco"/>
        <w:numPr>
          <w:ilvl w:val="0"/>
          <w:numId w:val="1"/>
        </w:numPr>
      </w:pPr>
      <w:r>
        <w:t>Status dell’osteopatia all’estero</w:t>
      </w:r>
    </w:p>
    <w:p w14:paraId="22B4688F" w14:textId="37BBCD0C" w:rsidR="00C36D2A" w:rsidRDefault="00C36D2A" w:rsidP="00C36D2A">
      <w:pPr>
        <w:pStyle w:val="Paragrafoelenco"/>
        <w:numPr>
          <w:ilvl w:val="0"/>
          <w:numId w:val="1"/>
        </w:numPr>
      </w:pPr>
      <w:r>
        <w:t>Come usare il D.O. italiano negli altri Paesi</w:t>
      </w:r>
    </w:p>
    <w:p w14:paraId="5F981756" w14:textId="78685034" w:rsidR="00BF3F69" w:rsidRDefault="00BF3F69" w:rsidP="00C36D2A">
      <w:pPr>
        <w:pStyle w:val="Paragrafoelenco"/>
        <w:numPr>
          <w:ilvl w:val="0"/>
          <w:numId w:val="1"/>
        </w:numPr>
      </w:pPr>
      <w:r>
        <w:t>La fiscalità negli altri paesi</w:t>
      </w:r>
    </w:p>
    <w:p w14:paraId="43E802C7" w14:textId="70726B7A" w:rsidR="00BF3F69" w:rsidRDefault="00BF3F69" w:rsidP="00BF3F69">
      <w:pPr>
        <w:pStyle w:val="Paragrafoelenco"/>
        <w:numPr>
          <w:ilvl w:val="1"/>
          <w:numId w:val="1"/>
        </w:numPr>
      </w:pPr>
      <w:r>
        <w:t>Francia</w:t>
      </w:r>
    </w:p>
    <w:p w14:paraId="50A0B3B6" w14:textId="0A273E0C" w:rsidR="00BF3F69" w:rsidRDefault="00BF3F69" w:rsidP="00BF3F69">
      <w:pPr>
        <w:pStyle w:val="Paragrafoelenco"/>
        <w:numPr>
          <w:ilvl w:val="1"/>
          <w:numId w:val="1"/>
        </w:numPr>
      </w:pPr>
      <w:r>
        <w:t>Gran Bretagna</w:t>
      </w:r>
    </w:p>
    <w:p w14:paraId="4911BDBA" w14:textId="4C395522" w:rsidR="00BF3F69" w:rsidRDefault="00BF3F69" w:rsidP="00BF3F69">
      <w:pPr>
        <w:pStyle w:val="Paragrafoelenco"/>
        <w:numPr>
          <w:ilvl w:val="1"/>
          <w:numId w:val="1"/>
        </w:numPr>
      </w:pPr>
      <w:r>
        <w:t>Irlanda</w:t>
      </w:r>
    </w:p>
    <w:p w14:paraId="02C8E480" w14:textId="52E41C1E" w:rsidR="00BF3F69" w:rsidRDefault="00BF3F69" w:rsidP="00BF3F69">
      <w:pPr>
        <w:pStyle w:val="Paragrafoelenco"/>
        <w:numPr>
          <w:ilvl w:val="1"/>
          <w:numId w:val="1"/>
        </w:numPr>
      </w:pPr>
      <w:r>
        <w:t>Islanda</w:t>
      </w:r>
    </w:p>
    <w:p w14:paraId="1D2494BB" w14:textId="72DFC863" w:rsidR="00BF3F69" w:rsidRDefault="00BF3F69" w:rsidP="00BF3F69">
      <w:pPr>
        <w:pStyle w:val="Paragrafoelenco"/>
        <w:numPr>
          <w:ilvl w:val="1"/>
          <w:numId w:val="1"/>
        </w:numPr>
      </w:pPr>
      <w:r>
        <w:t>Olanda</w:t>
      </w:r>
    </w:p>
    <w:p w14:paraId="54A32974" w14:textId="0F637FE8" w:rsidR="00BF3F69" w:rsidRDefault="00BF3F69" w:rsidP="00BF3F69">
      <w:pPr>
        <w:pStyle w:val="Paragrafoelenco"/>
        <w:numPr>
          <w:ilvl w:val="1"/>
          <w:numId w:val="1"/>
        </w:numPr>
      </w:pPr>
      <w:r>
        <w:t>Portogallo</w:t>
      </w:r>
    </w:p>
    <w:p w14:paraId="495EA654" w14:textId="295B9AB1" w:rsidR="00BF3F69" w:rsidRDefault="00BF3F69" w:rsidP="00BF3F69">
      <w:pPr>
        <w:pStyle w:val="Paragrafoelenco"/>
        <w:numPr>
          <w:ilvl w:val="1"/>
          <w:numId w:val="1"/>
        </w:numPr>
      </w:pPr>
      <w:r>
        <w:t>Belgio</w:t>
      </w:r>
    </w:p>
    <w:p w14:paraId="4B0DFC80" w14:textId="4C7C29CC" w:rsidR="00BF3F69" w:rsidRDefault="00BF3F69" w:rsidP="00BF3F69">
      <w:pPr>
        <w:pStyle w:val="Paragrafoelenco"/>
        <w:numPr>
          <w:ilvl w:val="1"/>
          <w:numId w:val="1"/>
        </w:numPr>
      </w:pPr>
      <w:r>
        <w:t>Svizzera</w:t>
      </w:r>
    </w:p>
    <w:p w14:paraId="398EF7FA" w14:textId="18BCC517" w:rsidR="00BF3F69" w:rsidRDefault="00BF3F69" w:rsidP="00BF3F69">
      <w:pPr>
        <w:pStyle w:val="Paragrafoelenco"/>
        <w:numPr>
          <w:ilvl w:val="1"/>
          <w:numId w:val="1"/>
        </w:numPr>
      </w:pPr>
      <w:r>
        <w:t>Austria</w:t>
      </w:r>
    </w:p>
    <w:p w14:paraId="64652F1D" w14:textId="06F374DD" w:rsidR="00BF3F69" w:rsidRDefault="00BF3F69" w:rsidP="00BF3F69">
      <w:pPr>
        <w:pStyle w:val="Paragrafoelenco"/>
        <w:numPr>
          <w:ilvl w:val="1"/>
          <w:numId w:val="1"/>
        </w:numPr>
      </w:pPr>
      <w:r>
        <w:t>Svezia</w:t>
      </w:r>
    </w:p>
    <w:p w14:paraId="06992044" w14:textId="52C2FF29" w:rsidR="00BF3F69" w:rsidRDefault="00BF3F69" w:rsidP="00BF3F69">
      <w:pPr>
        <w:pStyle w:val="Paragrafoelenco"/>
        <w:numPr>
          <w:ilvl w:val="1"/>
          <w:numId w:val="1"/>
        </w:numPr>
      </w:pPr>
      <w:r>
        <w:t>Norvegia</w:t>
      </w:r>
    </w:p>
    <w:p w14:paraId="5F7867D5" w14:textId="54B016FD" w:rsidR="00BF3F69" w:rsidRDefault="00BF3F69" w:rsidP="00BF3F69">
      <w:pPr>
        <w:pStyle w:val="Paragrafoelenco"/>
        <w:numPr>
          <w:ilvl w:val="1"/>
          <w:numId w:val="1"/>
        </w:numPr>
      </w:pPr>
      <w:r>
        <w:t>Finlandia</w:t>
      </w:r>
    </w:p>
    <w:p w14:paraId="3D95FEC4" w14:textId="0D5086D3" w:rsidR="00BF3F69" w:rsidRDefault="00BF3F69" w:rsidP="00BF3F69">
      <w:pPr>
        <w:pStyle w:val="Paragrafoelenco"/>
        <w:numPr>
          <w:ilvl w:val="1"/>
          <w:numId w:val="1"/>
        </w:numPr>
      </w:pPr>
      <w:r>
        <w:t>Danimarca</w:t>
      </w:r>
    </w:p>
    <w:p w14:paraId="62420FA0" w14:textId="2FE23E06" w:rsidR="00BF3F69" w:rsidRDefault="00BF3F69" w:rsidP="00BF3F69">
      <w:pPr>
        <w:pStyle w:val="Paragrafoelenco"/>
        <w:numPr>
          <w:ilvl w:val="1"/>
          <w:numId w:val="1"/>
        </w:numPr>
      </w:pPr>
      <w:r>
        <w:t>Est Europa e Balcani</w:t>
      </w:r>
    </w:p>
    <w:p w14:paraId="5B3D07C4" w14:textId="04BFFBBA" w:rsidR="00BF3F69" w:rsidRDefault="00817A1C" w:rsidP="00BF3F69">
      <w:pPr>
        <w:pStyle w:val="Paragrafoelenco"/>
        <w:numPr>
          <w:ilvl w:val="1"/>
          <w:numId w:val="1"/>
        </w:numPr>
      </w:pPr>
      <w:r>
        <w:t>Turchia</w:t>
      </w:r>
    </w:p>
    <w:p w14:paraId="38EB8C14" w14:textId="6953CB4E" w:rsidR="00817A1C" w:rsidRDefault="00817A1C" w:rsidP="00BF3F69">
      <w:pPr>
        <w:pStyle w:val="Paragrafoelenco"/>
        <w:numPr>
          <w:ilvl w:val="1"/>
          <w:numId w:val="1"/>
        </w:numPr>
      </w:pPr>
      <w:r>
        <w:t>Polonia</w:t>
      </w:r>
    </w:p>
    <w:p w14:paraId="209561CF" w14:textId="5D670D72" w:rsidR="00817A1C" w:rsidRDefault="00817A1C" w:rsidP="00BF3F69">
      <w:pPr>
        <w:pStyle w:val="Paragrafoelenco"/>
        <w:numPr>
          <w:ilvl w:val="1"/>
          <w:numId w:val="1"/>
        </w:numPr>
      </w:pPr>
      <w:r>
        <w:t>Romania</w:t>
      </w:r>
    </w:p>
    <w:p w14:paraId="05C16278" w14:textId="51F3FA7C" w:rsidR="00817A1C" w:rsidRDefault="00817A1C" w:rsidP="00BF3F69">
      <w:pPr>
        <w:pStyle w:val="Paragrafoelenco"/>
        <w:numPr>
          <w:ilvl w:val="1"/>
          <w:numId w:val="1"/>
        </w:numPr>
      </w:pPr>
      <w:r>
        <w:t>Malta</w:t>
      </w:r>
    </w:p>
    <w:p w14:paraId="36CBF2C1" w14:textId="170B94DA" w:rsidR="00817A1C" w:rsidRDefault="00817A1C" w:rsidP="00BF3F69">
      <w:pPr>
        <w:pStyle w:val="Paragrafoelenco"/>
        <w:numPr>
          <w:ilvl w:val="1"/>
          <w:numId w:val="1"/>
        </w:numPr>
      </w:pPr>
      <w:r>
        <w:t>Germania</w:t>
      </w:r>
    </w:p>
    <w:p w14:paraId="144FD2D2" w14:textId="7DE01661" w:rsidR="00817A1C" w:rsidRDefault="00817A1C" w:rsidP="00BF3F69">
      <w:pPr>
        <w:pStyle w:val="Paragrafoelenco"/>
        <w:numPr>
          <w:ilvl w:val="1"/>
          <w:numId w:val="1"/>
        </w:numPr>
      </w:pPr>
      <w:r>
        <w:t>Spagna</w:t>
      </w:r>
    </w:p>
    <w:p w14:paraId="156BD673" w14:textId="197CC12A" w:rsidR="00817A1C" w:rsidRDefault="00817A1C" w:rsidP="00BF3F69">
      <w:pPr>
        <w:pStyle w:val="Paragrafoelenco"/>
        <w:numPr>
          <w:ilvl w:val="1"/>
          <w:numId w:val="1"/>
        </w:numPr>
      </w:pPr>
      <w:r>
        <w:t>Grecia</w:t>
      </w:r>
    </w:p>
    <w:p w14:paraId="541C7598" w14:textId="09D85072" w:rsidR="00817A1C" w:rsidRDefault="00817A1C" w:rsidP="00BF3F69">
      <w:pPr>
        <w:pStyle w:val="Paragrafoelenco"/>
        <w:numPr>
          <w:ilvl w:val="1"/>
          <w:numId w:val="1"/>
        </w:numPr>
      </w:pPr>
      <w:r>
        <w:t>Australia</w:t>
      </w:r>
    </w:p>
    <w:p w14:paraId="27D9583A" w14:textId="457D6CF7" w:rsidR="00817A1C" w:rsidRDefault="00817A1C" w:rsidP="00BF3F69">
      <w:pPr>
        <w:pStyle w:val="Paragrafoelenco"/>
        <w:numPr>
          <w:ilvl w:val="1"/>
          <w:numId w:val="1"/>
        </w:numPr>
      </w:pPr>
      <w:r>
        <w:t>Nuova Zelanda</w:t>
      </w:r>
    </w:p>
    <w:p w14:paraId="2196CCF1" w14:textId="09D65C15" w:rsidR="00817A1C" w:rsidRDefault="00817A1C" w:rsidP="00BF3F69">
      <w:pPr>
        <w:pStyle w:val="Paragrafoelenco"/>
        <w:numPr>
          <w:ilvl w:val="1"/>
          <w:numId w:val="1"/>
        </w:numPr>
      </w:pPr>
      <w:r>
        <w:t>Brasile</w:t>
      </w:r>
    </w:p>
    <w:p w14:paraId="2C5F3BCA" w14:textId="3E95790E" w:rsidR="00817A1C" w:rsidRDefault="00817A1C" w:rsidP="00BF3F69">
      <w:pPr>
        <w:pStyle w:val="Paragrafoelenco"/>
        <w:numPr>
          <w:ilvl w:val="1"/>
          <w:numId w:val="1"/>
        </w:numPr>
      </w:pPr>
      <w:r>
        <w:t>Stati Uniti</w:t>
      </w:r>
    </w:p>
    <w:p w14:paraId="6927A434" w14:textId="47241E5C" w:rsidR="00817A1C" w:rsidRDefault="00817A1C" w:rsidP="00BF3F69">
      <w:pPr>
        <w:pStyle w:val="Paragrafoelenco"/>
        <w:numPr>
          <w:ilvl w:val="1"/>
          <w:numId w:val="1"/>
        </w:numPr>
      </w:pPr>
      <w:r>
        <w:t>Argentina</w:t>
      </w:r>
    </w:p>
    <w:p w14:paraId="517A29DD" w14:textId="1DAE0ED4" w:rsidR="00817A1C" w:rsidRDefault="00817A1C" w:rsidP="00BF3F69">
      <w:pPr>
        <w:pStyle w:val="Paragrafoelenco"/>
        <w:numPr>
          <w:ilvl w:val="1"/>
          <w:numId w:val="1"/>
        </w:numPr>
      </w:pPr>
      <w:r>
        <w:t>Canada</w:t>
      </w:r>
    </w:p>
    <w:p w14:paraId="752B1B7C" w14:textId="686211EE" w:rsidR="00817A1C" w:rsidRDefault="00817A1C" w:rsidP="00BF3F69">
      <w:pPr>
        <w:pStyle w:val="Paragrafoelenco"/>
        <w:numPr>
          <w:ilvl w:val="1"/>
          <w:numId w:val="1"/>
        </w:numPr>
      </w:pPr>
      <w:r>
        <w:t>Giappone</w:t>
      </w:r>
    </w:p>
    <w:p w14:paraId="2FBEF02F" w14:textId="50DAE34E" w:rsidR="00817A1C" w:rsidRDefault="00817A1C" w:rsidP="00BF3F69">
      <w:pPr>
        <w:pStyle w:val="Paragrafoelenco"/>
        <w:numPr>
          <w:ilvl w:val="1"/>
          <w:numId w:val="1"/>
        </w:numPr>
      </w:pPr>
      <w:r>
        <w:t>Russia</w:t>
      </w:r>
    </w:p>
    <w:p w14:paraId="5648D15A" w14:textId="77777777" w:rsidR="00817A1C" w:rsidRDefault="00817A1C" w:rsidP="00817A1C"/>
    <w:p w14:paraId="4F291194" w14:textId="352BF466" w:rsidR="00817A1C" w:rsidRDefault="00817A1C">
      <w:r>
        <w:br w:type="page"/>
      </w:r>
    </w:p>
    <w:p w14:paraId="724BAB64" w14:textId="5E6187BF" w:rsidR="00EC60AF" w:rsidRDefault="00817A1C" w:rsidP="00EC60AF">
      <w:pPr>
        <w:rPr>
          <w:b/>
          <w:bCs/>
        </w:rPr>
      </w:pPr>
      <w:r>
        <w:rPr>
          <w:b/>
          <w:bCs/>
        </w:rPr>
        <w:lastRenderedPageBreak/>
        <w:t>LA REGOLAMENTAZIONE DELL’OSTEOPATIA</w:t>
      </w:r>
    </w:p>
    <w:p w14:paraId="7634ECE9" w14:textId="330A96DD" w:rsidR="00817A1C" w:rsidRDefault="00817A1C" w:rsidP="00817A1C">
      <w:pPr>
        <w:pStyle w:val="Paragrafoelenco"/>
        <w:numPr>
          <w:ilvl w:val="0"/>
          <w:numId w:val="1"/>
        </w:numPr>
      </w:pPr>
      <w:r>
        <w:t>La legge 4/2013</w:t>
      </w:r>
    </w:p>
    <w:p w14:paraId="1A15CD25" w14:textId="451B6F5C" w:rsidR="00817A1C" w:rsidRDefault="00817A1C" w:rsidP="00817A1C">
      <w:pPr>
        <w:pStyle w:val="Paragrafoelenco"/>
        <w:numPr>
          <w:ilvl w:val="0"/>
          <w:numId w:val="1"/>
        </w:numPr>
      </w:pPr>
      <w:r>
        <w:t>La legge 3/2018 “Lorenzin”</w:t>
      </w:r>
    </w:p>
    <w:p w14:paraId="3B736586" w14:textId="4C79E2A1" w:rsidR="00817A1C" w:rsidRDefault="00817A1C" w:rsidP="00817A1C">
      <w:pPr>
        <w:pStyle w:val="Paragrafoelenco"/>
        <w:numPr>
          <w:ilvl w:val="0"/>
          <w:numId w:val="1"/>
        </w:numPr>
      </w:pPr>
      <w:r>
        <w:t>L’osteopatia individuata come professione sanitaria</w:t>
      </w:r>
    </w:p>
    <w:p w14:paraId="1D192AB2" w14:textId="2DAC91E0" w:rsidR="00817A1C" w:rsidRDefault="00817A1C" w:rsidP="00817A1C">
      <w:pPr>
        <w:pStyle w:val="Paragrafoelenco"/>
        <w:numPr>
          <w:ilvl w:val="0"/>
          <w:numId w:val="1"/>
        </w:numPr>
      </w:pPr>
      <w:r>
        <w:t>Il profilo professionale</w:t>
      </w:r>
    </w:p>
    <w:p w14:paraId="7D261836" w14:textId="529BC4C2" w:rsidR="00817A1C" w:rsidRDefault="00817A1C" w:rsidP="00817A1C">
      <w:pPr>
        <w:pStyle w:val="Paragrafoelenco"/>
        <w:numPr>
          <w:ilvl w:val="1"/>
          <w:numId w:val="1"/>
        </w:numPr>
      </w:pPr>
      <w:r>
        <w:t>Il D.P.R. 131 del 7 luglio 2021</w:t>
      </w:r>
    </w:p>
    <w:p w14:paraId="5075F221" w14:textId="709C7D29" w:rsidR="00817A1C" w:rsidRDefault="00817A1C" w:rsidP="00817A1C">
      <w:pPr>
        <w:pStyle w:val="Paragrafoelenco"/>
        <w:numPr>
          <w:ilvl w:val="1"/>
          <w:numId w:val="1"/>
        </w:numPr>
      </w:pPr>
      <w:r>
        <w:t>T.A.R. Sentenza 21 luglio 2023</w:t>
      </w:r>
    </w:p>
    <w:p w14:paraId="4BDAE3E6" w14:textId="48D8DA15" w:rsidR="00817A1C" w:rsidRDefault="00817A1C" w:rsidP="00817A1C">
      <w:pPr>
        <w:pStyle w:val="Paragrafoelenco"/>
        <w:numPr>
          <w:ilvl w:val="1"/>
          <w:numId w:val="1"/>
        </w:numPr>
      </w:pPr>
      <w:r>
        <w:t>Il concetto di prevenzione</w:t>
      </w:r>
    </w:p>
    <w:p w14:paraId="4419D671" w14:textId="692440CB" w:rsidR="00817A1C" w:rsidRDefault="00817A1C" w:rsidP="00817A1C">
      <w:pPr>
        <w:pStyle w:val="Paragrafoelenco"/>
        <w:numPr>
          <w:ilvl w:val="0"/>
          <w:numId w:val="1"/>
        </w:numPr>
      </w:pPr>
      <w:r>
        <w:t>Il percorso universitario</w:t>
      </w:r>
    </w:p>
    <w:p w14:paraId="7A0E57C9" w14:textId="012BF8B9" w:rsidR="00817A1C" w:rsidRDefault="00817A1C" w:rsidP="00817A1C">
      <w:pPr>
        <w:pStyle w:val="Paragrafoelenco"/>
        <w:numPr>
          <w:ilvl w:val="1"/>
          <w:numId w:val="1"/>
        </w:numPr>
      </w:pPr>
      <w:r>
        <w:t>Registro decreti 1563 del 1° dicembre 2023</w:t>
      </w:r>
    </w:p>
    <w:p w14:paraId="602EC541" w14:textId="1F21D9D8" w:rsidR="00817A1C" w:rsidRPr="00817A1C" w:rsidRDefault="00817A1C" w:rsidP="00817A1C">
      <w:pPr>
        <w:pStyle w:val="Paragrafoelenco"/>
        <w:numPr>
          <w:ilvl w:val="0"/>
          <w:numId w:val="1"/>
        </w:numPr>
      </w:pPr>
      <w:r>
        <w:t>L’equipollenza</w:t>
      </w:r>
    </w:p>
    <w:p w14:paraId="77A936A6" w14:textId="77777777" w:rsidR="004C12C8" w:rsidRDefault="004C12C8" w:rsidP="00EC60AF"/>
    <w:p w14:paraId="019C5B0E" w14:textId="77777777" w:rsidR="00817A1C" w:rsidRDefault="00817A1C" w:rsidP="004C12C8">
      <w:pPr>
        <w:rPr>
          <w:rFonts w:cstheme="minorHAnsi"/>
        </w:rPr>
      </w:pPr>
    </w:p>
    <w:p w14:paraId="39277BB6" w14:textId="77777777" w:rsidR="00817A1C" w:rsidRDefault="00817A1C" w:rsidP="004C12C8">
      <w:pPr>
        <w:rPr>
          <w:rFonts w:cstheme="minorHAnsi"/>
        </w:rPr>
      </w:pPr>
    </w:p>
    <w:p w14:paraId="37728715" w14:textId="77777777" w:rsidR="00817A1C" w:rsidRDefault="00817A1C" w:rsidP="004C12C8">
      <w:pPr>
        <w:rPr>
          <w:rFonts w:cstheme="minorHAnsi"/>
        </w:rPr>
      </w:pPr>
    </w:p>
    <w:p w14:paraId="1F345135" w14:textId="77777777" w:rsidR="00817A1C" w:rsidRDefault="00817A1C" w:rsidP="004C12C8">
      <w:pPr>
        <w:rPr>
          <w:rFonts w:cstheme="minorHAnsi"/>
        </w:rPr>
      </w:pPr>
    </w:p>
    <w:p w14:paraId="7CB5EA84" w14:textId="3FB50958" w:rsidR="004C12C8" w:rsidRPr="004C12C8" w:rsidRDefault="004C12C8" w:rsidP="004C12C8">
      <w:pPr>
        <w:rPr>
          <w:rFonts w:cstheme="minorHAnsi"/>
        </w:rPr>
      </w:pPr>
      <w:r w:rsidRPr="004C12C8">
        <w:rPr>
          <w:rFonts w:cstheme="minorHAnsi"/>
        </w:rPr>
        <w:t>LIBRO DI TESTO</w:t>
      </w:r>
    </w:p>
    <w:p w14:paraId="69F2BD31" w14:textId="77777777" w:rsidR="004C12C8" w:rsidRPr="004C12C8" w:rsidRDefault="004C12C8" w:rsidP="004C12C8">
      <w:pPr>
        <w:rPr>
          <w:rFonts w:cstheme="minorHAnsi"/>
        </w:rPr>
      </w:pPr>
      <w:r w:rsidRPr="004C12C8">
        <w:rPr>
          <w:rFonts w:cstheme="minorHAnsi"/>
        </w:rPr>
        <w:t xml:space="preserve">Causi – Aprire lo studio </w:t>
      </w:r>
    </w:p>
    <w:p w14:paraId="2050E8BB" w14:textId="77777777" w:rsidR="004C12C8" w:rsidRPr="004C12C8" w:rsidRDefault="004C12C8" w:rsidP="004C12C8">
      <w:pPr>
        <w:rPr>
          <w:rFonts w:cstheme="minorHAnsi"/>
        </w:rPr>
      </w:pPr>
      <w:r w:rsidRPr="004C12C8">
        <w:rPr>
          <w:rFonts w:cstheme="minorHAnsi"/>
        </w:rPr>
        <w:t>TESTI DI APPROFONDIMENTO</w:t>
      </w:r>
    </w:p>
    <w:p w14:paraId="5AFCFEEF" w14:textId="77777777" w:rsidR="004C12C8" w:rsidRDefault="004C12C8" w:rsidP="004C12C8">
      <w:pPr>
        <w:rPr>
          <w:rFonts w:cstheme="minorHAnsi"/>
        </w:rPr>
      </w:pPr>
      <w:r>
        <w:rPr>
          <w:rFonts w:cstheme="minorHAnsi"/>
        </w:rPr>
        <w:t>Di Luca – Feola – Manuale di Medicina Legale – Edizioni Minerva Medica</w:t>
      </w:r>
    </w:p>
    <w:p w14:paraId="36CD0F16" w14:textId="77777777" w:rsidR="004C12C8" w:rsidRDefault="004C12C8" w:rsidP="004C12C8">
      <w:pPr>
        <w:rPr>
          <w:rFonts w:cstheme="minorHAnsi"/>
        </w:rPr>
      </w:pPr>
      <w:r>
        <w:rPr>
          <w:rFonts w:cstheme="minorHAnsi"/>
        </w:rPr>
        <w:t>Memento Pratico – il Fisco – Giuffrè Francis Lefebvre</w:t>
      </w:r>
    </w:p>
    <w:p w14:paraId="5E1E4F5F" w14:textId="3BE32F0A" w:rsidR="006469BB" w:rsidRDefault="006469BB" w:rsidP="004C12C8">
      <w:pPr>
        <w:rPr>
          <w:rFonts w:cstheme="minorHAnsi"/>
        </w:rPr>
      </w:pPr>
      <w:r>
        <w:rPr>
          <w:rFonts w:cstheme="minorHAnsi"/>
        </w:rPr>
        <w:t>AA.VV.- La Costituzione Etica dell’Ordine dei T.S.R.M. e P.S.T.R.P.</w:t>
      </w:r>
    </w:p>
    <w:p w14:paraId="6080C055" w14:textId="77777777" w:rsidR="004C12C8" w:rsidRDefault="004C12C8" w:rsidP="004C12C8"/>
    <w:sectPr w:rsidR="004C12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B671E"/>
    <w:multiLevelType w:val="hybridMultilevel"/>
    <w:tmpl w:val="8C4CD00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35781"/>
    <w:multiLevelType w:val="hybridMultilevel"/>
    <w:tmpl w:val="14706856"/>
    <w:lvl w:ilvl="0" w:tplc="BA7493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4648918">
    <w:abstractNumId w:val="1"/>
  </w:num>
  <w:num w:numId="2" w16cid:durableId="2014186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405"/>
    <w:rsid w:val="000031F4"/>
    <w:rsid w:val="000307E5"/>
    <w:rsid w:val="00124008"/>
    <w:rsid w:val="001246FE"/>
    <w:rsid w:val="004A1A50"/>
    <w:rsid w:val="004C12C8"/>
    <w:rsid w:val="006469BB"/>
    <w:rsid w:val="00817A1C"/>
    <w:rsid w:val="009E5405"/>
    <w:rsid w:val="00AA70E7"/>
    <w:rsid w:val="00B16EC4"/>
    <w:rsid w:val="00BE69F2"/>
    <w:rsid w:val="00BF3F69"/>
    <w:rsid w:val="00C36D2A"/>
    <w:rsid w:val="00EC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56762"/>
  <w15:chartTrackingRefBased/>
  <w15:docId w15:val="{09122D28-A1A7-462F-B0AA-3FEE82888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E5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Causi</dc:creator>
  <cp:keywords/>
  <dc:description/>
  <cp:lastModifiedBy>Alfonso Causi</cp:lastModifiedBy>
  <cp:revision>13</cp:revision>
  <cp:lastPrinted>2023-09-07T15:20:00Z</cp:lastPrinted>
  <dcterms:created xsi:type="dcterms:W3CDTF">2022-11-28T11:28:00Z</dcterms:created>
  <dcterms:modified xsi:type="dcterms:W3CDTF">2024-01-28T12:16:00Z</dcterms:modified>
</cp:coreProperties>
</file>